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64936" w14:textId="77777777" w:rsidR="00112A43" w:rsidRDefault="00112A43" w:rsidP="00F06B87">
      <w:pPr>
        <w:jc w:val="center"/>
        <w:rPr>
          <w:rFonts w:ascii="Botera TFE" w:hAnsi="Botera TFE"/>
          <w:b/>
          <w:bCs/>
          <w:lang w:val="en-US"/>
        </w:rPr>
      </w:pPr>
    </w:p>
    <w:p w14:paraId="538476D4" w14:textId="7DB1BDA5" w:rsidR="0009797A" w:rsidRPr="00112A43" w:rsidRDefault="00ED4965" w:rsidP="00BC3593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  <w:lang w:val="en-US"/>
        </w:rPr>
        <w:t>LIAISON</w:t>
      </w:r>
    </w:p>
    <w:p w14:paraId="1BCF9343" w14:textId="77777777" w:rsidR="009A26B7" w:rsidRDefault="009A26B7">
      <w:pPr>
        <w:jc w:val="center"/>
        <w:rPr>
          <w:rFonts w:ascii="Botera TFE" w:eastAsia="Calibri" w:hAnsi="Botera TFE" w:cs="Calibri"/>
          <w:b/>
          <w:bCs/>
          <w:sz w:val="22"/>
          <w:szCs w:val="22"/>
        </w:rPr>
      </w:pPr>
    </w:p>
    <w:p w14:paraId="05512891" w14:textId="77777777" w:rsidR="00112A43" w:rsidRDefault="00112A43">
      <w:pPr>
        <w:jc w:val="center"/>
        <w:rPr>
          <w:rFonts w:ascii="Botera TFE" w:eastAsia="Calibri" w:hAnsi="Botera TFE" w:cs="Calibri"/>
          <w:b/>
          <w:bCs/>
          <w:sz w:val="22"/>
          <w:szCs w:val="22"/>
        </w:rPr>
      </w:pPr>
    </w:p>
    <w:p w14:paraId="1B8BA352" w14:textId="77777777" w:rsidR="00BC3593" w:rsidRPr="00112A43" w:rsidRDefault="00BC3593" w:rsidP="000E51B5">
      <w:pPr>
        <w:jc w:val="both"/>
        <w:rPr>
          <w:rFonts w:ascii="Botera TFE" w:hAnsi="Botera TFE"/>
          <w:sz w:val="22"/>
          <w:szCs w:val="22"/>
        </w:rPr>
      </w:pPr>
    </w:p>
    <w:p w14:paraId="57053487" w14:textId="77777777" w:rsidR="00222167" w:rsidRPr="00112A43" w:rsidRDefault="00BC3593">
      <w:pPr>
        <w:jc w:val="both"/>
        <w:rPr>
          <w:rFonts w:ascii="Botera TFE" w:hAnsi="Botera TFE"/>
          <w:sz w:val="22"/>
          <w:szCs w:val="22"/>
        </w:rPr>
      </w:pPr>
      <w:r w:rsidRPr="00112A43">
        <w:rPr>
          <w:rFonts w:ascii="Botera TFE" w:hAnsi="Botera TFE"/>
          <w:b/>
          <w:bCs/>
          <w:sz w:val="22"/>
          <w:szCs w:val="22"/>
        </w:rPr>
        <w:t>Liaison</w:t>
      </w:r>
      <w:r w:rsidRPr="00112A43">
        <w:rPr>
          <w:rFonts w:ascii="Botera TFE" w:hAnsi="Botera TFE"/>
          <w:sz w:val="22"/>
          <w:szCs w:val="22"/>
        </w:rPr>
        <w:t xml:space="preserve">, disegnata da </w:t>
      </w:r>
      <w:r w:rsidRPr="00112A43">
        <w:rPr>
          <w:rFonts w:ascii="Botera TFE" w:hAnsi="Botera TFE"/>
          <w:b/>
          <w:bCs/>
          <w:sz w:val="22"/>
          <w:szCs w:val="22"/>
        </w:rPr>
        <w:t>Sara</w:t>
      </w:r>
      <w:r w:rsidRPr="00112A43">
        <w:rPr>
          <w:rFonts w:ascii="Botera TFE" w:hAnsi="Botera TFE"/>
          <w:sz w:val="22"/>
          <w:szCs w:val="22"/>
        </w:rPr>
        <w:t xml:space="preserve"> </w:t>
      </w:r>
      <w:r w:rsidRPr="00112A43">
        <w:rPr>
          <w:rFonts w:ascii="Botera TFE" w:hAnsi="Botera TFE"/>
          <w:b/>
          <w:bCs/>
          <w:sz w:val="22"/>
          <w:szCs w:val="22"/>
        </w:rPr>
        <w:t>Moroni</w:t>
      </w:r>
      <w:r w:rsidRPr="00112A43">
        <w:rPr>
          <w:rFonts w:ascii="Botera TFE" w:hAnsi="Botera TFE"/>
          <w:sz w:val="22"/>
          <w:szCs w:val="22"/>
        </w:rPr>
        <w:t xml:space="preserve">, è una collezione di lampade a sospensione dalla forte personalità che lascia spazio a una completa libertà creativa. Infatti, può essere appesa </w:t>
      </w:r>
      <w:r w:rsidRPr="00112A43">
        <w:rPr>
          <w:rFonts w:ascii="Botera TFE" w:hAnsi="Botera TFE"/>
          <w:b/>
          <w:bCs/>
          <w:sz w:val="22"/>
          <w:szCs w:val="22"/>
        </w:rPr>
        <w:t>singolarmente o in composizioni</w:t>
      </w:r>
      <w:r w:rsidRPr="00112A43">
        <w:rPr>
          <w:rFonts w:ascii="Botera TFE" w:hAnsi="Botera TFE"/>
          <w:sz w:val="22"/>
          <w:szCs w:val="22"/>
        </w:rPr>
        <w:t xml:space="preserve"> da </w:t>
      </w:r>
      <w:r w:rsidRPr="00112A43">
        <w:rPr>
          <w:rFonts w:ascii="Botera TFE" w:hAnsi="Botera TFE"/>
          <w:b/>
          <w:bCs/>
          <w:sz w:val="22"/>
          <w:szCs w:val="22"/>
        </w:rPr>
        <w:t>2, 4 e 8 elementi</w:t>
      </w:r>
      <w:r w:rsidRPr="00112A43">
        <w:rPr>
          <w:rFonts w:ascii="Botera TFE" w:hAnsi="Botera TFE"/>
          <w:sz w:val="22"/>
          <w:szCs w:val="22"/>
        </w:rPr>
        <w:t xml:space="preserve">, duplicabili su due livelli di altezza, per </w:t>
      </w:r>
      <w:r w:rsidR="00FF34F2" w:rsidRPr="00112A43">
        <w:rPr>
          <w:rFonts w:ascii="Botera TFE" w:hAnsi="Botera TFE"/>
          <w:sz w:val="22"/>
          <w:szCs w:val="22"/>
        </w:rPr>
        <w:t>molteplici</w:t>
      </w:r>
      <w:r w:rsidRPr="00112A43">
        <w:rPr>
          <w:rFonts w:ascii="Botera TFE" w:hAnsi="Botera TFE"/>
          <w:sz w:val="22"/>
          <w:szCs w:val="22"/>
        </w:rPr>
        <w:t xml:space="preserve"> possibilità di combinazioni ed effetti di luce. Ogni singolo pendente si declina in 3 dimensioni (con diametro da </w:t>
      </w:r>
      <w:r w:rsidRPr="00112A43">
        <w:rPr>
          <w:rFonts w:ascii="Botera TFE" w:hAnsi="Botera TFE"/>
          <w:b/>
          <w:bCs/>
          <w:sz w:val="22"/>
          <w:szCs w:val="22"/>
        </w:rPr>
        <w:t>45, 80 e 100</w:t>
      </w:r>
      <w:r w:rsidRPr="00112A43">
        <w:rPr>
          <w:rFonts w:ascii="Botera TFE" w:hAnsi="Botera TFE"/>
          <w:sz w:val="22"/>
          <w:szCs w:val="22"/>
        </w:rPr>
        <w:t xml:space="preserve"> cm) ed è personalizzabile cromaticamente nelle </w:t>
      </w:r>
      <w:r w:rsidRPr="00112A43">
        <w:rPr>
          <w:rFonts w:ascii="Botera TFE" w:hAnsi="Botera TFE"/>
          <w:i/>
          <w:iCs/>
          <w:sz w:val="22"/>
          <w:szCs w:val="22"/>
        </w:rPr>
        <w:t>nuance</w:t>
      </w:r>
      <w:r w:rsidRPr="00112A43">
        <w:rPr>
          <w:rFonts w:ascii="Botera TFE" w:hAnsi="Botera TFE"/>
          <w:sz w:val="22"/>
          <w:szCs w:val="22"/>
        </w:rPr>
        <w:t xml:space="preserve"> del </w:t>
      </w:r>
      <w:r w:rsidRPr="00112A43">
        <w:rPr>
          <w:rFonts w:ascii="Botera TFE" w:hAnsi="Botera TFE"/>
          <w:b/>
          <w:bCs/>
          <w:sz w:val="22"/>
          <w:szCs w:val="22"/>
        </w:rPr>
        <w:t>nero</w:t>
      </w:r>
      <w:r w:rsidRPr="00112A43">
        <w:rPr>
          <w:rFonts w:ascii="Botera TFE" w:hAnsi="Botera TFE"/>
          <w:sz w:val="22"/>
          <w:szCs w:val="22"/>
        </w:rPr>
        <w:t xml:space="preserve"> e </w:t>
      </w:r>
      <w:r w:rsidRPr="00112A43">
        <w:rPr>
          <w:rFonts w:ascii="Botera TFE" w:hAnsi="Botera TFE"/>
          <w:b/>
          <w:bCs/>
          <w:sz w:val="22"/>
          <w:szCs w:val="22"/>
        </w:rPr>
        <w:t>oro</w:t>
      </w:r>
      <w:r w:rsidRPr="00112A43">
        <w:rPr>
          <w:rFonts w:ascii="Botera TFE" w:hAnsi="Botera TFE"/>
          <w:sz w:val="22"/>
          <w:szCs w:val="22"/>
        </w:rPr>
        <w:t xml:space="preserve"> </w:t>
      </w:r>
      <w:r w:rsidRPr="00112A43">
        <w:rPr>
          <w:rFonts w:ascii="Botera TFE" w:hAnsi="Botera TFE"/>
          <w:b/>
          <w:bCs/>
          <w:sz w:val="22"/>
          <w:szCs w:val="22"/>
        </w:rPr>
        <w:t>opaco</w:t>
      </w:r>
      <w:r w:rsidRPr="00112A43">
        <w:rPr>
          <w:rFonts w:ascii="Botera TFE" w:hAnsi="Botera TFE"/>
          <w:sz w:val="22"/>
          <w:szCs w:val="22"/>
        </w:rPr>
        <w:t xml:space="preserve">. La sorgente luminosa a </w:t>
      </w:r>
      <w:r w:rsidRPr="00112A43">
        <w:rPr>
          <w:rFonts w:ascii="Botera TFE" w:hAnsi="Botera TFE"/>
          <w:b/>
          <w:bCs/>
          <w:sz w:val="22"/>
          <w:szCs w:val="22"/>
        </w:rPr>
        <w:t>LED</w:t>
      </w:r>
      <w:r w:rsidRPr="00112A43">
        <w:rPr>
          <w:rFonts w:ascii="Botera TFE" w:hAnsi="Botera TFE"/>
          <w:sz w:val="22"/>
          <w:szCs w:val="22"/>
        </w:rPr>
        <w:t xml:space="preserve"> </w:t>
      </w:r>
      <w:proofErr w:type="spellStart"/>
      <w:r w:rsidRPr="00112A43">
        <w:rPr>
          <w:rFonts w:ascii="Botera TFE" w:hAnsi="Botera TFE"/>
          <w:b/>
          <w:bCs/>
          <w:sz w:val="22"/>
          <w:szCs w:val="22"/>
        </w:rPr>
        <w:t>dimmerabile</w:t>
      </w:r>
      <w:proofErr w:type="spellEnd"/>
      <w:r w:rsidRPr="00112A43">
        <w:rPr>
          <w:rFonts w:ascii="Botera TFE" w:hAnsi="Botera TFE"/>
          <w:sz w:val="22"/>
          <w:szCs w:val="22"/>
        </w:rPr>
        <w:t xml:space="preserve"> offre il duplice vantaggio di essere energeticamente efficiente</w:t>
      </w:r>
      <w:r w:rsidR="00566E9D" w:rsidRPr="00112A43">
        <w:rPr>
          <w:rFonts w:ascii="Botera TFE" w:hAnsi="Botera TFE"/>
          <w:sz w:val="22"/>
          <w:szCs w:val="22"/>
        </w:rPr>
        <w:t xml:space="preserve"> -</w:t>
      </w:r>
      <w:r w:rsidRPr="00112A43">
        <w:rPr>
          <w:rFonts w:ascii="Botera TFE" w:hAnsi="Botera TFE"/>
          <w:sz w:val="22"/>
          <w:szCs w:val="22"/>
        </w:rPr>
        <w:t xml:space="preserve"> con un consistente risparmio di consum</w:t>
      </w:r>
      <w:r w:rsidR="00566E9D" w:rsidRPr="00112A43">
        <w:rPr>
          <w:rFonts w:ascii="Botera TFE" w:hAnsi="Botera TFE"/>
          <w:sz w:val="22"/>
          <w:szCs w:val="22"/>
        </w:rPr>
        <w:t>i -</w:t>
      </w:r>
      <w:r w:rsidRPr="00112A43">
        <w:rPr>
          <w:rFonts w:ascii="Botera TFE" w:hAnsi="Botera TFE"/>
          <w:sz w:val="22"/>
          <w:szCs w:val="22"/>
        </w:rPr>
        <w:t xml:space="preserve"> e di non abbagliare mai gli ospiti, consentendo di installare la lampada in qualsiasi spazio e a qualsiasi altezza.</w:t>
      </w:r>
      <w:r w:rsidR="00222167" w:rsidRPr="00112A43">
        <w:rPr>
          <w:rFonts w:ascii="Botera TFE" w:hAnsi="Botera TFE"/>
          <w:sz w:val="22"/>
          <w:szCs w:val="22"/>
        </w:rPr>
        <w:t xml:space="preserve"> Unica e preziosa, </w:t>
      </w:r>
      <w:r w:rsidR="00222167" w:rsidRPr="00112A43">
        <w:rPr>
          <w:rFonts w:ascii="Botera TFE" w:hAnsi="Botera TFE"/>
          <w:b/>
          <w:bCs/>
          <w:sz w:val="22"/>
          <w:szCs w:val="22"/>
        </w:rPr>
        <w:t>Liaison</w:t>
      </w:r>
      <w:r w:rsidR="00222167" w:rsidRPr="00112A43">
        <w:rPr>
          <w:rFonts w:ascii="Botera TFE" w:hAnsi="Botera TFE"/>
          <w:sz w:val="22"/>
          <w:szCs w:val="22"/>
        </w:rPr>
        <w:t xml:space="preserve"> gioca con tre archetipi geometrici – </w:t>
      </w:r>
      <w:r w:rsidR="00222167" w:rsidRPr="00112A43">
        <w:rPr>
          <w:rFonts w:ascii="Botera TFE" w:hAnsi="Botera TFE"/>
          <w:b/>
          <w:bCs/>
          <w:sz w:val="22"/>
          <w:szCs w:val="22"/>
        </w:rPr>
        <w:t>cerchio</w:t>
      </w:r>
      <w:r w:rsidR="00566E9D" w:rsidRPr="00112A43">
        <w:rPr>
          <w:rFonts w:ascii="Botera TFE" w:hAnsi="Botera TFE"/>
          <w:sz w:val="22"/>
          <w:szCs w:val="22"/>
        </w:rPr>
        <w:t xml:space="preserve">, </w:t>
      </w:r>
      <w:r w:rsidR="00222167" w:rsidRPr="00112A43">
        <w:rPr>
          <w:rFonts w:ascii="Botera TFE" w:hAnsi="Botera TFE"/>
          <w:b/>
          <w:bCs/>
          <w:sz w:val="22"/>
          <w:szCs w:val="22"/>
        </w:rPr>
        <w:t>cilindro</w:t>
      </w:r>
      <w:r w:rsidR="00566E9D" w:rsidRPr="00112A43">
        <w:rPr>
          <w:rFonts w:ascii="Botera TFE" w:hAnsi="Botera TFE"/>
          <w:b/>
          <w:bCs/>
          <w:sz w:val="22"/>
          <w:szCs w:val="22"/>
        </w:rPr>
        <w:t>, sfera</w:t>
      </w:r>
      <w:r w:rsidR="00222167" w:rsidRPr="00112A43">
        <w:rPr>
          <w:rFonts w:ascii="Botera TFE" w:hAnsi="Botera TFE"/>
          <w:sz w:val="22"/>
          <w:szCs w:val="22"/>
        </w:rPr>
        <w:t xml:space="preserve"> – che si combinano in una struttura leggera ed elegante. Seppur decorativi, tutti gli elementi sono essenziali e portanti: il semicerchio abbraccia gli altri due elementi dando forma all’oggetto e conducendo i cavi, il cilindro custodisce la sorgente luminosa a LED, la </w:t>
      </w:r>
      <w:r w:rsidR="00566E9D" w:rsidRPr="00112A43">
        <w:rPr>
          <w:rFonts w:ascii="Botera TFE" w:hAnsi="Botera TFE"/>
          <w:sz w:val="22"/>
          <w:szCs w:val="22"/>
        </w:rPr>
        <w:t>sfera</w:t>
      </w:r>
      <w:r w:rsidR="00222167" w:rsidRPr="00112A43">
        <w:rPr>
          <w:rFonts w:ascii="Botera TFE" w:hAnsi="Botera TFE"/>
          <w:sz w:val="22"/>
          <w:szCs w:val="22"/>
        </w:rPr>
        <w:t xml:space="preserve"> contribuisce alla creazione di un equilibrio statico. </w:t>
      </w:r>
    </w:p>
    <w:p w14:paraId="7DBCF5EB" w14:textId="77777777" w:rsidR="00206927" w:rsidRPr="00112A43" w:rsidRDefault="00206927">
      <w:pPr>
        <w:jc w:val="both"/>
        <w:rPr>
          <w:rFonts w:ascii="Botera TFE" w:hAnsi="Botera TFE"/>
          <w:sz w:val="22"/>
          <w:szCs w:val="22"/>
        </w:rPr>
      </w:pPr>
    </w:p>
    <w:p w14:paraId="29B209B4" w14:textId="77777777" w:rsidR="002C15E4" w:rsidRPr="00112A43" w:rsidRDefault="002C15E4">
      <w:pPr>
        <w:jc w:val="both"/>
        <w:rPr>
          <w:rFonts w:ascii="Botera TFE" w:hAnsi="Botera TFE"/>
          <w:sz w:val="22"/>
          <w:szCs w:val="22"/>
        </w:rPr>
      </w:pPr>
    </w:p>
    <w:p w14:paraId="2E2B1310" w14:textId="77777777" w:rsidR="007824DC" w:rsidRPr="00112A43" w:rsidRDefault="00462C63">
      <w:pPr>
        <w:jc w:val="both"/>
        <w:rPr>
          <w:rFonts w:ascii="Botera TFE" w:hAnsi="Botera TFE"/>
          <w:sz w:val="22"/>
          <w:szCs w:val="22"/>
        </w:rPr>
      </w:pPr>
      <w:hyperlink r:id="rId6" w:history="1">
        <w:r w:rsidR="008E5FE5" w:rsidRPr="00112A43">
          <w:rPr>
            <w:rStyle w:val="Hyperlink0"/>
            <w:rFonts w:ascii="Botera TFE" w:hAnsi="Botera TFE"/>
          </w:rPr>
          <w:t>www.axolight.it</w:t>
        </w:r>
      </w:hyperlink>
      <w:r w:rsidR="008E5FE5" w:rsidRPr="00112A43">
        <w:rPr>
          <w:rFonts w:ascii="Botera TFE" w:hAnsi="Botera TFE"/>
          <w:sz w:val="22"/>
          <w:szCs w:val="22"/>
        </w:rPr>
        <w:t xml:space="preserve"> </w:t>
      </w:r>
    </w:p>
    <w:p w14:paraId="45870A07" w14:textId="77777777" w:rsidR="007824DC" w:rsidRPr="00112A43" w:rsidRDefault="00462C63">
      <w:pPr>
        <w:jc w:val="both"/>
        <w:rPr>
          <w:rFonts w:ascii="Botera TFE" w:eastAsia="Calibri" w:hAnsi="Botera TFE" w:cs="Calibri"/>
          <w:sz w:val="22"/>
          <w:szCs w:val="22"/>
        </w:rPr>
      </w:pPr>
      <w:hyperlink r:id="rId7" w:history="1">
        <w:r w:rsidR="008E5FE5" w:rsidRPr="00112A43">
          <w:rPr>
            <w:rStyle w:val="Hyperlink0"/>
            <w:rFonts w:ascii="Botera TFE" w:hAnsi="Botera TFE"/>
          </w:rPr>
          <w:t>www.instagram.com/axolight</w:t>
        </w:r>
      </w:hyperlink>
      <w:r w:rsidR="008E5FE5" w:rsidRPr="00112A43">
        <w:rPr>
          <w:rFonts w:ascii="Botera TFE" w:hAnsi="Botera TFE"/>
          <w:sz w:val="22"/>
          <w:szCs w:val="22"/>
        </w:rPr>
        <w:t xml:space="preserve"> </w:t>
      </w:r>
    </w:p>
    <w:p w14:paraId="689897BD" w14:textId="77777777" w:rsidR="007824DC" w:rsidRPr="00112A43" w:rsidRDefault="007824DC">
      <w:pPr>
        <w:jc w:val="both"/>
        <w:rPr>
          <w:rFonts w:ascii="Botera TFE" w:eastAsia="Calibri" w:hAnsi="Botera TFE" w:cs="Calibri"/>
          <w:sz w:val="22"/>
          <w:szCs w:val="22"/>
        </w:rPr>
      </w:pPr>
    </w:p>
    <w:p w14:paraId="41022EC3" w14:textId="77777777" w:rsidR="007824DC" w:rsidRPr="00112A43" w:rsidRDefault="007824DC">
      <w:pPr>
        <w:jc w:val="both"/>
        <w:rPr>
          <w:rFonts w:ascii="Botera TFE" w:eastAsia="Calibri" w:hAnsi="Botera TFE" w:cs="Calibri"/>
          <w:sz w:val="22"/>
          <w:szCs w:val="22"/>
        </w:rPr>
      </w:pPr>
    </w:p>
    <w:p w14:paraId="540FD97B" w14:textId="26C55D27" w:rsidR="007824DC" w:rsidRPr="00112A43" w:rsidRDefault="007824DC">
      <w:pPr>
        <w:jc w:val="both"/>
        <w:rPr>
          <w:rFonts w:ascii="Botera TFE" w:hAnsi="Botera TFE"/>
        </w:rPr>
      </w:pPr>
    </w:p>
    <w:sectPr w:rsidR="007824DC" w:rsidRPr="00112A43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51EB" w14:textId="77777777" w:rsidR="00462C63" w:rsidRDefault="00462C63">
      <w:r>
        <w:separator/>
      </w:r>
    </w:p>
  </w:endnote>
  <w:endnote w:type="continuationSeparator" w:id="0">
    <w:p w14:paraId="7A232363" w14:textId="77777777" w:rsidR="00462C63" w:rsidRDefault="0046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0304" w14:textId="77777777" w:rsidR="007824DC" w:rsidRDefault="007824DC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A1F7D" w14:textId="77777777" w:rsidR="00462C63" w:rsidRDefault="00462C63">
      <w:r>
        <w:separator/>
      </w:r>
    </w:p>
  </w:footnote>
  <w:footnote w:type="continuationSeparator" w:id="0">
    <w:p w14:paraId="048B35D2" w14:textId="77777777" w:rsidR="00462C63" w:rsidRDefault="00462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F0B1" w14:textId="77777777" w:rsidR="007824DC" w:rsidRDefault="008E5FE5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F136E23" wp14:editId="17750C02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2850" cy="1047750"/>
          <wp:effectExtent l="0" t="0" r="0" b="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05A73A9" wp14:editId="2913C016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4DC"/>
    <w:rsid w:val="0009797A"/>
    <w:rsid w:val="000E51B5"/>
    <w:rsid w:val="00112A43"/>
    <w:rsid w:val="00206927"/>
    <w:rsid w:val="00222167"/>
    <w:rsid w:val="002C15E4"/>
    <w:rsid w:val="00462C63"/>
    <w:rsid w:val="004D6CF3"/>
    <w:rsid w:val="00537FF0"/>
    <w:rsid w:val="00566E9D"/>
    <w:rsid w:val="0063745B"/>
    <w:rsid w:val="007824DC"/>
    <w:rsid w:val="00895220"/>
    <w:rsid w:val="008E5FE5"/>
    <w:rsid w:val="009A26B7"/>
    <w:rsid w:val="00B25187"/>
    <w:rsid w:val="00B444F3"/>
    <w:rsid w:val="00BC3593"/>
    <w:rsid w:val="00C46796"/>
    <w:rsid w:val="00DB3E46"/>
    <w:rsid w:val="00E80A85"/>
    <w:rsid w:val="00ED4965"/>
    <w:rsid w:val="00F06B87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23C677"/>
  <w15:docId w15:val="{EAF82674-BDB3-4947-BEA6-7E4E14CF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axoligh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14</cp:revision>
  <dcterms:created xsi:type="dcterms:W3CDTF">2020-01-22T11:18:00Z</dcterms:created>
  <dcterms:modified xsi:type="dcterms:W3CDTF">2021-09-02T15:28:00Z</dcterms:modified>
</cp:coreProperties>
</file>