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2BF07" w14:textId="77777777" w:rsidR="005754E4" w:rsidRDefault="005754E4" w:rsidP="005754E4">
      <w:pPr>
        <w:rPr>
          <w:rFonts w:ascii="Botera TFE" w:hAnsi="Botera TFE"/>
          <w:lang w:val="en-US"/>
        </w:rPr>
      </w:pPr>
    </w:p>
    <w:p w14:paraId="63C349C5" w14:textId="7504BB4A" w:rsidR="0012151A" w:rsidRPr="00932DED" w:rsidRDefault="00C07B07" w:rsidP="00103159">
      <w:pPr>
        <w:jc w:val="center"/>
        <w:rPr>
          <w:rFonts w:ascii="Botera TFE" w:hAnsi="Botera TFE"/>
          <w:b/>
          <w:bCs/>
        </w:rPr>
      </w:pPr>
      <w:r>
        <w:rPr>
          <w:rFonts w:ascii="Botera TFE" w:hAnsi="Botera TFE"/>
          <w:b/>
          <w:bCs/>
        </w:rPr>
        <w:t>NUOVO SPOT ORIENTABILE PER</w:t>
      </w:r>
      <w:r w:rsidR="0012151A" w:rsidRPr="00932DED">
        <w:rPr>
          <w:rFonts w:ascii="Botera TFE" w:hAnsi="Botera TFE"/>
          <w:b/>
          <w:bCs/>
        </w:rPr>
        <w:t xml:space="preserve"> PIVOT,</w:t>
      </w:r>
    </w:p>
    <w:p w14:paraId="2FD2CF72" w14:textId="23CFEEE6" w:rsidR="00E23AD1" w:rsidRPr="00932DED" w:rsidRDefault="00C07B07" w:rsidP="0012151A">
      <w:pPr>
        <w:jc w:val="center"/>
        <w:rPr>
          <w:rFonts w:ascii="Botera TFE" w:hAnsi="Botera TFE"/>
          <w:b/>
          <w:bCs/>
          <w:color w:val="auto"/>
        </w:rPr>
      </w:pPr>
      <w:r>
        <w:rPr>
          <w:rFonts w:ascii="Botera TFE" w:hAnsi="Botera TFE"/>
          <w:b/>
          <w:bCs/>
          <w:color w:val="auto"/>
        </w:rPr>
        <w:t>IL</w:t>
      </w:r>
      <w:r w:rsidR="00C03993" w:rsidRPr="00932DED">
        <w:rPr>
          <w:rFonts w:ascii="Botera TFE" w:hAnsi="Botera TFE"/>
          <w:b/>
          <w:bCs/>
          <w:color w:val="auto"/>
        </w:rPr>
        <w:t xml:space="preserve"> </w:t>
      </w:r>
      <w:r w:rsidR="0012151A" w:rsidRPr="00932DED">
        <w:rPr>
          <w:rFonts w:ascii="Botera TFE" w:hAnsi="Botera TFE"/>
          <w:b/>
          <w:bCs/>
          <w:color w:val="auto"/>
        </w:rPr>
        <w:t xml:space="preserve">SISTEMA DI ILLUMINAZIONE </w:t>
      </w:r>
      <w:r w:rsidR="00AE1560" w:rsidRPr="00932DED">
        <w:rPr>
          <w:rFonts w:ascii="Botera TFE" w:hAnsi="Botera TFE"/>
          <w:b/>
          <w:bCs/>
          <w:color w:val="auto"/>
        </w:rPr>
        <w:t xml:space="preserve">MODULARE </w:t>
      </w:r>
      <w:r>
        <w:rPr>
          <w:rFonts w:ascii="Botera TFE" w:hAnsi="Botera TFE"/>
          <w:b/>
          <w:bCs/>
          <w:color w:val="auto"/>
        </w:rPr>
        <w:t>DI AXOLIGHT</w:t>
      </w:r>
    </w:p>
    <w:p w14:paraId="33D5029E" w14:textId="77777777" w:rsidR="005409F8" w:rsidRPr="00932DED" w:rsidRDefault="005409F8" w:rsidP="00531EB7">
      <w:pPr>
        <w:jc w:val="center"/>
        <w:rPr>
          <w:rFonts w:ascii="Botera TFE" w:hAnsi="Botera TFE"/>
          <w:b/>
          <w:bCs/>
          <w:color w:val="auto"/>
        </w:rPr>
      </w:pPr>
    </w:p>
    <w:p w14:paraId="09AE55A4" w14:textId="3FA56DE1" w:rsidR="00FB5278" w:rsidRPr="00932DED" w:rsidRDefault="00C07B07" w:rsidP="00531EB7">
      <w:pPr>
        <w:jc w:val="center"/>
        <w:rPr>
          <w:rFonts w:ascii="Botera TFE" w:hAnsi="Botera TFE"/>
          <w:b/>
          <w:bCs/>
          <w:color w:val="auto"/>
        </w:rPr>
      </w:pPr>
      <w:r>
        <w:rPr>
          <w:rFonts w:ascii="Botera TFE" w:hAnsi="Botera TFE"/>
          <w:b/>
          <w:bCs/>
          <w:color w:val="auto"/>
        </w:rPr>
        <w:t xml:space="preserve">Ideato dal designer giapponese </w:t>
      </w:r>
      <w:proofErr w:type="spellStart"/>
      <w:r>
        <w:rPr>
          <w:rFonts w:ascii="Botera TFE" w:hAnsi="Botera TFE"/>
          <w:b/>
          <w:bCs/>
          <w:color w:val="auto"/>
        </w:rPr>
        <w:t>Ryosuke</w:t>
      </w:r>
      <w:proofErr w:type="spellEnd"/>
      <w:r>
        <w:rPr>
          <w:rFonts w:ascii="Botera TFE" w:hAnsi="Botera TFE"/>
          <w:b/>
          <w:bCs/>
          <w:color w:val="auto"/>
        </w:rPr>
        <w:t xml:space="preserve"> </w:t>
      </w:r>
      <w:proofErr w:type="spellStart"/>
      <w:r>
        <w:rPr>
          <w:rFonts w:ascii="Botera TFE" w:hAnsi="Botera TFE"/>
          <w:b/>
          <w:bCs/>
          <w:color w:val="auto"/>
        </w:rPr>
        <w:t>Fukusada</w:t>
      </w:r>
      <w:proofErr w:type="spellEnd"/>
      <w:r w:rsidR="00103159">
        <w:rPr>
          <w:rFonts w:ascii="Botera TFE" w:hAnsi="Botera TFE"/>
          <w:b/>
          <w:bCs/>
          <w:color w:val="auto"/>
        </w:rPr>
        <w:t xml:space="preserve">, Pivot sa </w:t>
      </w:r>
      <w:r w:rsidR="00AA375D" w:rsidRPr="00932DED">
        <w:rPr>
          <w:rFonts w:ascii="Botera TFE" w:hAnsi="Botera TFE"/>
          <w:b/>
          <w:bCs/>
          <w:color w:val="auto"/>
        </w:rPr>
        <w:t>coniuga</w:t>
      </w:r>
      <w:r>
        <w:rPr>
          <w:rFonts w:ascii="Botera TFE" w:hAnsi="Botera TFE"/>
          <w:b/>
          <w:bCs/>
          <w:color w:val="auto"/>
        </w:rPr>
        <w:t>re</w:t>
      </w:r>
      <w:r w:rsidR="00AA375D" w:rsidRPr="00932DED">
        <w:rPr>
          <w:rFonts w:ascii="Botera TFE" w:hAnsi="Botera TFE"/>
          <w:b/>
          <w:bCs/>
          <w:color w:val="auto"/>
        </w:rPr>
        <w:t xml:space="preserve"> estetica, </w:t>
      </w:r>
      <w:r w:rsidR="009572CF" w:rsidRPr="00932DED">
        <w:rPr>
          <w:rFonts w:ascii="Botera TFE" w:hAnsi="Botera TFE"/>
          <w:b/>
          <w:bCs/>
          <w:color w:val="auto"/>
        </w:rPr>
        <w:t xml:space="preserve">tecnica </w:t>
      </w:r>
      <w:r w:rsidR="00AA375D" w:rsidRPr="00932DED">
        <w:rPr>
          <w:rFonts w:ascii="Botera TFE" w:hAnsi="Botera TFE"/>
          <w:b/>
          <w:bCs/>
          <w:color w:val="auto"/>
        </w:rPr>
        <w:t>e funzionalità</w:t>
      </w:r>
      <w:r w:rsidR="00103159">
        <w:rPr>
          <w:rFonts w:ascii="Botera TFE" w:hAnsi="Botera TFE"/>
          <w:b/>
          <w:bCs/>
          <w:color w:val="auto"/>
        </w:rPr>
        <w:t>, illuminando gli spazi</w:t>
      </w:r>
      <w:r>
        <w:rPr>
          <w:rFonts w:ascii="Botera TFE" w:hAnsi="Botera TFE"/>
          <w:b/>
          <w:bCs/>
          <w:color w:val="auto"/>
        </w:rPr>
        <w:t xml:space="preserve"> partendo da un unico punto luce</w:t>
      </w:r>
    </w:p>
    <w:p w14:paraId="466B4786" w14:textId="543113CD" w:rsidR="00725379" w:rsidRDefault="00725379" w:rsidP="00725379">
      <w:pPr>
        <w:jc w:val="center"/>
        <w:rPr>
          <w:rFonts w:ascii="Botera TFE" w:hAnsi="Botera TFE"/>
          <w:b/>
          <w:bCs/>
          <w:i/>
          <w:iCs/>
          <w:color w:val="auto"/>
        </w:rPr>
      </w:pPr>
    </w:p>
    <w:p w14:paraId="79D17902" w14:textId="77777777" w:rsidR="000F5897" w:rsidRPr="00932DED" w:rsidRDefault="000F5897" w:rsidP="00725379">
      <w:pPr>
        <w:jc w:val="center"/>
        <w:rPr>
          <w:rFonts w:ascii="Botera TFE" w:hAnsi="Botera TFE"/>
          <w:b/>
          <w:bCs/>
          <w:i/>
          <w:iCs/>
          <w:color w:val="auto"/>
        </w:rPr>
      </w:pPr>
    </w:p>
    <w:p w14:paraId="685E1BE5" w14:textId="655E9445" w:rsidR="00095939" w:rsidRDefault="000F5897" w:rsidP="00095939">
      <w:pPr>
        <w:jc w:val="both"/>
        <w:rPr>
          <w:rFonts w:ascii="Botera TFE" w:hAnsi="Botera TFE"/>
          <w:color w:val="auto"/>
          <w:sz w:val="22"/>
          <w:szCs w:val="22"/>
        </w:rPr>
      </w:pPr>
      <w:bookmarkStart w:id="0" w:name="_GoBack"/>
      <w:bookmarkEnd w:id="0"/>
      <w:r>
        <w:rPr>
          <w:rFonts w:ascii="Botera TFE" w:hAnsi="Botera TFE"/>
          <w:color w:val="auto"/>
          <w:sz w:val="22"/>
          <w:szCs w:val="22"/>
        </w:rPr>
        <w:t xml:space="preserve">Presentata lo scorso maggio, la collezione </w:t>
      </w:r>
      <w:r w:rsidRPr="000F5897">
        <w:rPr>
          <w:rFonts w:ascii="Botera TFE" w:hAnsi="Botera TFE"/>
          <w:b/>
          <w:bCs/>
          <w:color w:val="auto"/>
          <w:sz w:val="22"/>
          <w:szCs w:val="22"/>
        </w:rPr>
        <w:t>Pivot</w:t>
      </w:r>
      <w:r>
        <w:rPr>
          <w:rFonts w:ascii="Botera TFE" w:hAnsi="Botera TFE"/>
          <w:color w:val="auto"/>
          <w:sz w:val="22"/>
          <w:szCs w:val="22"/>
        </w:rPr>
        <w:t xml:space="preserve"> </w:t>
      </w:r>
      <w:r w:rsidR="00152A2C">
        <w:rPr>
          <w:rFonts w:ascii="Botera TFE" w:hAnsi="Botera TFE"/>
          <w:color w:val="auto"/>
          <w:sz w:val="22"/>
          <w:szCs w:val="22"/>
        </w:rPr>
        <w:t xml:space="preserve">di Axolight </w:t>
      </w:r>
      <w:r>
        <w:rPr>
          <w:rFonts w:ascii="Botera TFE" w:hAnsi="Botera TFE"/>
          <w:color w:val="auto"/>
          <w:sz w:val="22"/>
          <w:szCs w:val="22"/>
        </w:rPr>
        <w:t>si arricchisce oggi di un nuov</w:t>
      </w:r>
      <w:r w:rsidR="000D7F1D">
        <w:rPr>
          <w:rFonts w:ascii="Botera TFE" w:hAnsi="Botera TFE"/>
          <w:color w:val="auto"/>
          <w:sz w:val="22"/>
          <w:szCs w:val="22"/>
        </w:rPr>
        <w:t xml:space="preserve">a versione compositiva </w:t>
      </w:r>
      <w:r w:rsidR="00095939">
        <w:rPr>
          <w:rFonts w:ascii="Botera TFE" w:hAnsi="Botera TFE"/>
          <w:color w:val="auto"/>
          <w:sz w:val="22"/>
          <w:szCs w:val="22"/>
        </w:rPr>
        <w:t xml:space="preserve">che rende ancora più personalizzabile ogni progetto. Oltre agli spot fissi e alle sospensioni presenti a catalogo, è possibile </w:t>
      </w:r>
      <w:r w:rsidR="00152A2C">
        <w:rPr>
          <w:rFonts w:ascii="Botera TFE" w:hAnsi="Botera TFE"/>
          <w:color w:val="auto"/>
          <w:sz w:val="22"/>
          <w:szCs w:val="22"/>
        </w:rPr>
        <w:t>infatti completare</w:t>
      </w:r>
      <w:r w:rsidR="00095939">
        <w:rPr>
          <w:rFonts w:ascii="Botera TFE" w:hAnsi="Botera TFE"/>
          <w:color w:val="auto"/>
          <w:sz w:val="22"/>
          <w:szCs w:val="22"/>
        </w:rPr>
        <w:t xml:space="preserve"> il sistema </w:t>
      </w:r>
      <w:r w:rsidR="00095939" w:rsidRPr="00152A2C">
        <w:rPr>
          <w:rFonts w:ascii="Botera TFE" w:hAnsi="Botera TFE"/>
          <w:b/>
          <w:bCs/>
          <w:color w:val="auto"/>
          <w:sz w:val="22"/>
          <w:szCs w:val="22"/>
        </w:rPr>
        <w:t>Pivot</w:t>
      </w:r>
      <w:r w:rsidR="00095939">
        <w:rPr>
          <w:rFonts w:ascii="Botera TFE" w:hAnsi="Botera TFE"/>
          <w:color w:val="auto"/>
          <w:sz w:val="22"/>
          <w:szCs w:val="22"/>
        </w:rPr>
        <w:t xml:space="preserve"> con uno </w:t>
      </w:r>
      <w:r w:rsidRPr="00103159">
        <w:rPr>
          <w:rFonts w:ascii="Botera TFE" w:hAnsi="Botera TFE"/>
          <w:b/>
          <w:bCs/>
          <w:color w:val="auto"/>
          <w:sz w:val="22"/>
          <w:szCs w:val="22"/>
        </w:rPr>
        <w:t>spot</w:t>
      </w:r>
      <w:r w:rsidR="00F131CE">
        <w:rPr>
          <w:rFonts w:ascii="Botera TFE" w:hAnsi="Botera TFE"/>
          <w:b/>
          <w:bCs/>
          <w:color w:val="auto"/>
          <w:sz w:val="22"/>
          <w:szCs w:val="22"/>
        </w:rPr>
        <w:t xml:space="preserve"> </w:t>
      </w:r>
      <w:r w:rsidRPr="00103159">
        <w:rPr>
          <w:rFonts w:ascii="Botera TFE" w:hAnsi="Botera TFE"/>
          <w:b/>
          <w:bCs/>
          <w:color w:val="auto"/>
          <w:sz w:val="22"/>
          <w:szCs w:val="22"/>
        </w:rPr>
        <w:t>orientabile</w:t>
      </w:r>
      <w:r>
        <w:rPr>
          <w:rFonts w:ascii="Botera TFE" w:hAnsi="Botera TFE"/>
          <w:color w:val="auto"/>
          <w:sz w:val="22"/>
          <w:szCs w:val="22"/>
        </w:rPr>
        <w:t xml:space="preserve"> </w:t>
      </w:r>
      <w:r w:rsidR="00F131CE">
        <w:rPr>
          <w:rFonts w:ascii="Botera TFE" w:hAnsi="Botera TFE"/>
          <w:color w:val="auto"/>
          <w:sz w:val="22"/>
          <w:szCs w:val="22"/>
        </w:rPr>
        <w:t>con un’ampiezza di movimento pari a</w:t>
      </w:r>
      <w:r w:rsidR="00095939" w:rsidRPr="000F5897">
        <w:rPr>
          <w:rFonts w:ascii="Botera TFE" w:hAnsi="Botera TFE"/>
          <w:color w:val="auto"/>
          <w:sz w:val="22"/>
          <w:szCs w:val="22"/>
        </w:rPr>
        <w:t xml:space="preserve"> 90º sull’asse verticale e 350º sull’asse orizzontale</w:t>
      </w:r>
      <w:r w:rsidR="00095939">
        <w:rPr>
          <w:rFonts w:ascii="Botera TFE" w:hAnsi="Botera TFE"/>
          <w:color w:val="auto"/>
          <w:sz w:val="22"/>
          <w:szCs w:val="22"/>
        </w:rPr>
        <w:t xml:space="preserve"> </w:t>
      </w:r>
      <w:r w:rsidR="00152A2C">
        <w:rPr>
          <w:rFonts w:ascii="Botera TFE" w:hAnsi="Botera TFE"/>
          <w:color w:val="auto"/>
          <w:sz w:val="22"/>
          <w:szCs w:val="22"/>
        </w:rPr>
        <w:t>che permette</w:t>
      </w:r>
      <w:r w:rsidR="00F131CE">
        <w:rPr>
          <w:rFonts w:ascii="Botera TFE" w:hAnsi="Botera TFE"/>
          <w:color w:val="auto"/>
          <w:sz w:val="22"/>
          <w:szCs w:val="22"/>
        </w:rPr>
        <w:t xml:space="preserve"> di dirigere il fascio di luce.</w:t>
      </w:r>
    </w:p>
    <w:p w14:paraId="7BA1DF71" w14:textId="1A36CABA" w:rsidR="00095939" w:rsidRPr="00095939" w:rsidRDefault="00095939" w:rsidP="007B38A4">
      <w:pPr>
        <w:jc w:val="both"/>
        <w:rPr>
          <w:rFonts w:ascii="Botera TFE" w:hAnsi="Botera TFE"/>
          <w:color w:val="auto"/>
          <w:sz w:val="22"/>
          <w:szCs w:val="22"/>
        </w:rPr>
      </w:pPr>
    </w:p>
    <w:p w14:paraId="6835BDE1" w14:textId="6850481E" w:rsidR="00CF26B8" w:rsidRPr="00367A15" w:rsidRDefault="00095939" w:rsidP="00CF26B8">
      <w:pPr>
        <w:jc w:val="both"/>
        <w:rPr>
          <w:rFonts w:ascii="Botera TFE" w:hAnsi="Botera TFE"/>
          <w:color w:val="auto"/>
          <w:sz w:val="22"/>
          <w:szCs w:val="22"/>
        </w:rPr>
      </w:pPr>
      <w:r w:rsidRPr="00095939">
        <w:rPr>
          <w:rFonts w:ascii="Botera TFE" w:hAnsi="Botera TFE"/>
          <w:color w:val="auto"/>
          <w:sz w:val="22"/>
          <w:szCs w:val="22"/>
        </w:rPr>
        <w:t xml:space="preserve">Ideato dal </w:t>
      </w:r>
      <w:r w:rsidR="0012151A" w:rsidRPr="00932DED">
        <w:rPr>
          <w:rFonts w:ascii="Botera TFE" w:hAnsi="Botera TFE"/>
          <w:color w:val="auto"/>
          <w:sz w:val="22"/>
          <w:szCs w:val="22"/>
        </w:rPr>
        <w:t xml:space="preserve">designer giapponese </w:t>
      </w:r>
      <w:proofErr w:type="spellStart"/>
      <w:r w:rsidR="00B82F18" w:rsidRPr="00932DED">
        <w:rPr>
          <w:rFonts w:ascii="Botera TFE" w:hAnsi="Botera TFE"/>
          <w:b/>
          <w:bCs/>
          <w:color w:val="auto"/>
          <w:sz w:val="22"/>
          <w:szCs w:val="22"/>
        </w:rPr>
        <w:t>Ryosuke</w:t>
      </w:r>
      <w:proofErr w:type="spellEnd"/>
      <w:r w:rsidR="00B82F18" w:rsidRPr="00932DED">
        <w:rPr>
          <w:rFonts w:ascii="Botera TFE" w:hAnsi="Botera TFE"/>
          <w:b/>
          <w:bCs/>
          <w:color w:val="auto"/>
          <w:sz w:val="22"/>
          <w:szCs w:val="22"/>
        </w:rPr>
        <w:t xml:space="preserve"> </w:t>
      </w:r>
      <w:proofErr w:type="spellStart"/>
      <w:r w:rsidR="00B82F18" w:rsidRPr="00932DED">
        <w:rPr>
          <w:rFonts w:ascii="Botera TFE" w:hAnsi="Botera TFE"/>
          <w:b/>
          <w:bCs/>
          <w:color w:val="auto"/>
          <w:sz w:val="22"/>
          <w:szCs w:val="22"/>
        </w:rPr>
        <w:t>Fukusada</w:t>
      </w:r>
      <w:proofErr w:type="spellEnd"/>
      <w:r w:rsidR="00CE7054" w:rsidRPr="00932DED">
        <w:rPr>
          <w:rFonts w:ascii="Botera TFE" w:hAnsi="Botera TFE"/>
          <w:b/>
          <w:bCs/>
          <w:color w:val="auto"/>
          <w:sz w:val="22"/>
          <w:szCs w:val="22"/>
        </w:rPr>
        <w:t xml:space="preserve">, </w:t>
      </w:r>
      <w:r w:rsidR="00F131CE" w:rsidRPr="00095939">
        <w:rPr>
          <w:rFonts w:ascii="Botera TFE" w:hAnsi="Botera TFE"/>
          <w:color w:val="auto"/>
          <w:sz w:val="22"/>
          <w:szCs w:val="22"/>
        </w:rPr>
        <w:t>il rivoluzionario sistema di illuminazione modulare</w:t>
      </w:r>
      <w:r w:rsidR="00F131CE">
        <w:rPr>
          <w:rFonts w:ascii="Botera TFE" w:hAnsi="Botera TFE"/>
          <w:color w:val="auto"/>
          <w:sz w:val="22"/>
          <w:szCs w:val="22"/>
        </w:rPr>
        <w:t xml:space="preserve"> </w:t>
      </w:r>
      <w:r w:rsidRPr="00095939">
        <w:rPr>
          <w:rFonts w:ascii="Botera TFE" w:hAnsi="Botera TFE"/>
          <w:b/>
          <w:bCs/>
          <w:color w:val="auto"/>
          <w:sz w:val="22"/>
          <w:szCs w:val="22"/>
        </w:rPr>
        <w:t>Pivot</w:t>
      </w:r>
      <w:r>
        <w:rPr>
          <w:rFonts w:ascii="Botera TFE" w:hAnsi="Botera TFE"/>
          <w:color w:val="auto"/>
          <w:sz w:val="22"/>
          <w:szCs w:val="22"/>
        </w:rPr>
        <w:t xml:space="preserve"> c</w:t>
      </w:r>
      <w:r w:rsidRPr="00095939">
        <w:rPr>
          <w:rFonts w:ascii="Botera TFE" w:hAnsi="Botera TFE"/>
          <w:color w:val="auto"/>
          <w:sz w:val="22"/>
          <w:szCs w:val="22"/>
        </w:rPr>
        <w:t>onsente al progettista di creare, in maniera semplice e senza investimenti di supporto, infinite soluzioni stilistiche e luminose</w:t>
      </w:r>
      <w:r>
        <w:rPr>
          <w:rFonts w:ascii="Botera TFE" w:hAnsi="Botera TFE"/>
          <w:color w:val="auto"/>
          <w:sz w:val="22"/>
          <w:szCs w:val="22"/>
        </w:rPr>
        <w:t xml:space="preserve"> </w:t>
      </w:r>
      <w:r w:rsidR="00F131CE">
        <w:rPr>
          <w:rFonts w:ascii="Botera TFE" w:hAnsi="Botera TFE"/>
          <w:color w:val="auto"/>
          <w:sz w:val="22"/>
          <w:szCs w:val="22"/>
        </w:rPr>
        <w:t xml:space="preserve">– sia a soffitto che a parete – partendo da un'unica </w:t>
      </w:r>
      <w:r w:rsidR="00152A2C">
        <w:rPr>
          <w:rFonts w:ascii="Botera TFE" w:hAnsi="Botera TFE"/>
          <w:color w:val="auto"/>
          <w:sz w:val="22"/>
          <w:szCs w:val="22"/>
        </w:rPr>
        <w:t xml:space="preserve">sorgente luminosa che </w:t>
      </w:r>
      <w:r w:rsidR="00152A2C" w:rsidRPr="000459C9">
        <w:rPr>
          <w:rFonts w:ascii="Botera TFE" w:hAnsi="Botera TFE"/>
          <w:color w:val="auto"/>
          <w:sz w:val="22"/>
          <w:szCs w:val="22"/>
        </w:rPr>
        <w:t>alimenta l’inter</w:t>
      </w:r>
      <w:r w:rsidR="000D7F1D">
        <w:rPr>
          <w:rFonts w:ascii="Botera TFE" w:hAnsi="Botera TFE"/>
          <w:color w:val="auto"/>
          <w:sz w:val="22"/>
          <w:szCs w:val="22"/>
        </w:rPr>
        <w:t>a composizione</w:t>
      </w:r>
      <w:r w:rsidR="00152A2C" w:rsidRPr="000459C9">
        <w:rPr>
          <w:rFonts w:ascii="Botera TFE" w:hAnsi="Botera TFE"/>
          <w:color w:val="auto"/>
          <w:sz w:val="22"/>
          <w:szCs w:val="22"/>
        </w:rPr>
        <w:t xml:space="preserve">. </w:t>
      </w:r>
      <w:r w:rsidR="00152A2C" w:rsidRPr="000459C9">
        <w:rPr>
          <w:rFonts w:ascii="Botera TFE" w:hAnsi="Botera TFE"/>
          <w:sz w:val="22"/>
          <w:szCs w:val="22"/>
        </w:rPr>
        <w:t xml:space="preserve">Ogni sistema può estendersi fino a </w:t>
      </w:r>
      <w:r w:rsidR="00152A2C" w:rsidRPr="000459C9">
        <w:rPr>
          <w:rFonts w:ascii="Botera TFE" w:hAnsi="Botera TFE"/>
          <w:b/>
          <w:bCs/>
          <w:sz w:val="22"/>
          <w:szCs w:val="22"/>
        </w:rPr>
        <w:t>10</w:t>
      </w:r>
      <w:r w:rsidR="00152A2C" w:rsidRPr="000459C9">
        <w:rPr>
          <w:rFonts w:ascii="Botera TFE" w:hAnsi="Botera TFE"/>
          <w:sz w:val="22"/>
          <w:szCs w:val="22"/>
        </w:rPr>
        <w:t xml:space="preserve"> </w:t>
      </w:r>
      <w:r w:rsidR="00152A2C" w:rsidRPr="000459C9">
        <w:rPr>
          <w:rFonts w:ascii="Botera TFE" w:hAnsi="Botera TFE"/>
          <w:b/>
          <w:bCs/>
          <w:sz w:val="22"/>
          <w:szCs w:val="22"/>
        </w:rPr>
        <w:t>metri</w:t>
      </w:r>
      <w:r w:rsidR="00152A2C" w:rsidRPr="000459C9">
        <w:rPr>
          <w:rFonts w:ascii="Botera TFE" w:hAnsi="Botera TFE"/>
          <w:sz w:val="22"/>
          <w:szCs w:val="22"/>
        </w:rPr>
        <w:t xml:space="preserve"> grazie alle canaline tubolari di metallo (da 35, 65 e 100 cm) che collegano tra loro i vari punti </w:t>
      </w:r>
      <w:r w:rsidR="00CF26B8" w:rsidRPr="000459C9">
        <w:rPr>
          <w:rFonts w:ascii="Botera TFE" w:hAnsi="Botera TFE"/>
          <w:sz w:val="22"/>
          <w:szCs w:val="22"/>
        </w:rPr>
        <w:t xml:space="preserve">luce (fino ad un massimo di </w:t>
      </w:r>
      <w:r w:rsidR="00CF26B8" w:rsidRPr="000459C9">
        <w:rPr>
          <w:rFonts w:ascii="Botera TFE" w:hAnsi="Botera TFE"/>
          <w:b/>
          <w:bCs/>
          <w:sz w:val="22"/>
          <w:szCs w:val="22"/>
        </w:rPr>
        <w:t>dieci</w:t>
      </w:r>
      <w:r w:rsidR="00CF26B8" w:rsidRPr="000459C9">
        <w:rPr>
          <w:rFonts w:ascii="Botera TFE" w:hAnsi="Botera TFE"/>
          <w:sz w:val="22"/>
          <w:szCs w:val="22"/>
        </w:rPr>
        <w:t>).</w:t>
      </w:r>
      <w:r w:rsidR="00152A2C" w:rsidRPr="000459C9">
        <w:rPr>
          <w:rFonts w:ascii="Botera TFE" w:hAnsi="Botera TFE"/>
          <w:sz w:val="22"/>
          <w:szCs w:val="22"/>
        </w:rPr>
        <w:t xml:space="preserve"> </w:t>
      </w:r>
      <w:r w:rsidR="00CF26B8" w:rsidRPr="000459C9">
        <w:rPr>
          <w:rFonts w:ascii="Botera TFE" w:hAnsi="Botera TFE"/>
          <w:b/>
          <w:bCs/>
          <w:sz w:val="22"/>
          <w:szCs w:val="22"/>
        </w:rPr>
        <w:t>Pivot</w:t>
      </w:r>
      <w:r w:rsidR="00CF26B8" w:rsidRPr="000459C9">
        <w:rPr>
          <w:rFonts w:ascii="Botera TFE" w:hAnsi="Botera TFE"/>
          <w:sz w:val="22"/>
          <w:szCs w:val="22"/>
        </w:rPr>
        <w:t xml:space="preserve"> diviene così un elemento strutturale dello spazio con cui “giocare” per definire gli ambienti, sia da un punto di vista luminoso sia architettonico. </w:t>
      </w:r>
    </w:p>
    <w:p w14:paraId="3E2FBF41" w14:textId="77777777" w:rsidR="00152A2C" w:rsidRPr="000459C9" w:rsidRDefault="00152A2C" w:rsidP="00152A2C">
      <w:pPr>
        <w:jc w:val="both"/>
        <w:rPr>
          <w:rFonts w:ascii="Botera TFE" w:hAnsi="Botera TFE"/>
          <w:sz w:val="22"/>
          <w:szCs w:val="22"/>
        </w:rPr>
      </w:pPr>
    </w:p>
    <w:p w14:paraId="1822EF0C" w14:textId="52D2D06E" w:rsidR="00152A2C" w:rsidRDefault="00152A2C" w:rsidP="00095939">
      <w:pPr>
        <w:jc w:val="both"/>
        <w:rPr>
          <w:rFonts w:ascii="Botera TFE" w:hAnsi="Botera TFE"/>
          <w:sz w:val="22"/>
          <w:szCs w:val="22"/>
        </w:rPr>
      </w:pPr>
      <w:r w:rsidRPr="000459C9">
        <w:rPr>
          <w:rFonts w:ascii="Botera TFE" w:hAnsi="Botera TFE"/>
          <w:sz w:val="22"/>
          <w:szCs w:val="22"/>
        </w:rPr>
        <w:t>Ogni corpo illuminante è caratterizzato da</w:t>
      </w:r>
      <w:r w:rsidRPr="000459C9">
        <w:rPr>
          <w:rFonts w:ascii="Botera TFE" w:hAnsi="Botera TFE"/>
          <w:i/>
          <w:iCs/>
          <w:color w:val="FF0000"/>
          <w:sz w:val="22"/>
          <w:szCs w:val="22"/>
        </w:rPr>
        <w:t xml:space="preserve"> </w:t>
      </w:r>
      <w:r w:rsidRPr="000459C9">
        <w:rPr>
          <w:rFonts w:ascii="Botera TFE" w:hAnsi="Botera TFE"/>
          <w:sz w:val="22"/>
          <w:szCs w:val="22"/>
        </w:rPr>
        <w:t>un piccolo cilindro</w:t>
      </w:r>
      <w:r w:rsidRPr="000459C9">
        <w:rPr>
          <w:rFonts w:ascii="Botera TFE" w:hAnsi="Botera TFE"/>
          <w:color w:val="FF0000"/>
          <w:sz w:val="22"/>
          <w:szCs w:val="22"/>
        </w:rPr>
        <w:t xml:space="preserve"> </w:t>
      </w:r>
      <w:r w:rsidRPr="000459C9">
        <w:rPr>
          <w:rFonts w:ascii="Botera TFE" w:hAnsi="Botera TFE"/>
          <w:sz w:val="22"/>
          <w:szCs w:val="22"/>
        </w:rPr>
        <w:t xml:space="preserve">che contiene la sorgente LED, </w:t>
      </w:r>
      <w:r w:rsidR="00AF5980" w:rsidRPr="000459C9">
        <w:rPr>
          <w:rFonts w:ascii="Botera TFE" w:hAnsi="Botera TFE"/>
          <w:sz w:val="22"/>
          <w:szCs w:val="22"/>
        </w:rPr>
        <w:t>la</w:t>
      </w:r>
      <w:r w:rsidRPr="000459C9">
        <w:rPr>
          <w:rFonts w:ascii="Botera TFE" w:hAnsi="Botera TFE"/>
          <w:sz w:val="22"/>
          <w:szCs w:val="22"/>
        </w:rPr>
        <w:t xml:space="preserve"> lente che dirige il fascio luminoso e da</w:t>
      </w:r>
      <w:r w:rsidRPr="000459C9">
        <w:rPr>
          <w:rFonts w:ascii="Botera TFE" w:hAnsi="Botera TFE"/>
          <w:color w:val="FF0000"/>
          <w:sz w:val="22"/>
          <w:szCs w:val="22"/>
        </w:rPr>
        <w:t xml:space="preserve"> </w:t>
      </w:r>
      <w:r w:rsidRPr="000459C9">
        <w:rPr>
          <w:rFonts w:ascii="Botera TFE" w:hAnsi="Botera TFE"/>
          <w:sz w:val="22"/>
          <w:szCs w:val="22"/>
        </w:rPr>
        <w:t xml:space="preserve">due anelli rotanti sovrapposti che </w:t>
      </w:r>
      <w:r w:rsidRPr="000459C9">
        <w:rPr>
          <w:sz w:val="22"/>
          <w:szCs w:val="22"/>
        </w:rPr>
        <w:t xml:space="preserve">si connettono </w:t>
      </w:r>
      <w:r w:rsidRPr="000459C9">
        <w:rPr>
          <w:rFonts w:ascii="Botera TFE" w:hAnsi="Botera TFE"/>
          <w:sz w:val="22"/>
          <w:szCs w:val="22"/>
        </w:rPr>
        <w:t>a due canaline tubolari</w:t>
      </w:r>
      <w:r w:rsidR="00AF5980" w:rsidRPr="000459C9">
        <w:rPr>
          <w:rFonts w:ascii="Botera TFE" w:hAnsi="Botera TFE"/>
          <w:sz w:val="22"/>
          <w:szCs w:val="22"/>
        </w:rPr>
        <w:t xml:space="preserve">. </w:t>
      </w:r>
      <w:r w:rsidRPr="000459C9">
        <w:rPr>
          <w:rFonts w:ascii="Botera TFE" w:hAnsi="Botera TFE"/>
          <w:sz w:val="22"/>
          <w:szCs w:val="22"/>
        </w:rPr>
        <w:t xml:space="preserve">La totale libertà di rotazione dei due anelli consente </w:t>
      </w:r>
      <w:r w:rsidR="00AF5980" w:rsidRPr="000459C9">
        <w:rPr>
          <w:rFonts w:ascii="Botera TFE" w:hAnsi="Botera TFE"/>
          <w:sz w:val="22"/>
          <w:szCs w:val="22"/>
        </w:rPr>
        <w:t xml:space="preserve">così </w:t>
      </w:r>
      <w:r w:rsidRPr="000459C9">
        <w:rPr>
          <w:rFonts w:ascii="Botera TFE" w:hAnsi="Botera TFE"/>
          <w:sz w:val="22"/>
          <w:szCs w:val="22"/>
        </w:rPr>
        <w:t>di</w:t>
      </w:r>
      <w:r w:rsidRPr="000459C9">
        <w:rPr>
          <w:rFonts w:ascii="Botera TFE" w:hAnsi="Botera TFE"/>
          <w:color w:val="FF0000"/>
          <w:sz w:val="22"/>
          <w:szCs w:val="22"/>
        </w:rPr>
        <w:t xml:space="preserve"> </w:t>
      </w:r>
      <w:r w:rsidRPr="000459C9">
        <w:rPr>
          <w:rFonts w:ascii="Botera TFE" w:hAnsi="Botera TFE"/>
          <w:sz w:val="22"/>
          <w:szCs w:val="22"/>
        </w:rPr>
        <w:t xml:space="preserve">portare la luce ovunque si desideri e creare infinite forme geometriche. </w:t>
      </w:r>
      <w:r w:rsidR="00932DED" w:rsidRPr="000459C9">
        <w:rPr>
          <w:rFonts w:ascii="Botera TFE" w:hAnsi="Botera TFE"/>
          <w:sz w:val="22"/>
          <w:szCs w:val="22"/>
        </w:rPr>
        <w:t>Ogni spot</w:t>
      </w:r>
      <w:r w:rsidR="00AF5980" w:rsidRPr="000459C9">
        <w:rPr>
          <w:rFonts w:ascii="Botera TFE" w:hAnsi="Botera TFE"/>
          <w:sz w:val="22"/>
          <w:szCs w:val="22"/>
        </w:rPr>
        <w:t xml:space="preserve"> LED, progettato per il raggiungimento un elevato confort visivo,</w:t>
      </w:r>
      <w:r w:rsidR="00932DED" w:rsidRPr="000459C9">
        <w:rPr>
          <w:rFonts w:ascii="Botera TFE" w:hAnsi="Botera TFE"/>
          <w:sz w:val="22"/>
          <w:szCs w:val="22"/>
        </w:rPr>
        <w:t xml:space="preserve"> ha una potenza di circa 9 W (circa 700 lumen) </w:t>
      </w:r>
      <w:proofErr w:type="spellStart"/>
      <w:r w:rsidR="00932DED" w:rsidRPr="000459C9">
        <w:rPr>
          <w:rFonts w:ascii="Botera TFE" w:hAnsi="Botera TFE"/>
          <w:sz w:val="22"/>
          <w:szCs w:val="22"/>
        </w:rPr>
        <w:t>dimmerabili</w:t>
      </w:r>
      <w:proofErr w:type="spellEnd"/>
      <w:r w:rsidR="00932DED" w:rsidRPr="000459C9">
        <w:rPr>
          <w:rFonts w:ascii="Botera TFE" w:hAnsi="Botera TFE"/>
          <w:sz w:val="22"/>
          <w:szCs w:val="22"/>
        </w:rPr>
        <w:t>. Le lenti di serie consentono al fascio luminoso di raggiungere un angolo di apertura di 38</w:t>
      </w:r>
      <w:r w:rsidRPr="000459C9">
        <w:rPr>
          <w:sz w:val="22"/>
          <w:szCs w:val="22"/>
        </w:rPr>
        <w:t xml:space="preserve">° </w:t>
      </w:r>
      <w:r w:rsidR="00932DED" w:rsidRPr="000459C9">
        <w:rPr>
          <w:rFonts w:ascii="Botera TFE" w:hAnsi="Botera TFE"/>
          <w:sz w:val="22"/>
          <w:szCs w:val="22"/>
        </w:rPr>
        <w:t>o 12</w:t>
      </w:r>
      <w:r w:rsidRPr="000459C9">
        <w:rPr>
          <w:sz w:val="22"/>
          <w:szCs w:val="22"/>
        </w:rPr>
        <w:t>°</w:t>
      </w:r>
      <w:r w:rsidR="00932DED" w:rsidRPr="000459C9">
        <w:rPr>
          <w:rFonts w:ascii="Botera TFE" w:hAnsi="Botera TFE"/>
          <w:sz w:val="22"/>
          <w:szCs w:val="22"/>
        </w:rPr>
        <w:t xml:space="preserve">. </w:t>
      </w:r>
    </w:p>
    <w:p w14:paraId="7C92FB27" w14:textId="2DB9F64A" w:rsidR="00367A15" w:rsidRDefault="00367A15" w:rsidP="00095939">
      <w:pPr>
        <w:jc w:val="both"/>
        <w:rPr>
          <w:rFonts w:ascii="Botera TFE" w:hAnsi="Botera TFE"/>
          <w:sz w:val="22"/>
          <w:szCs w:val="22"/>
        </w:rPr>
      </w:pPr>
    </w:p>
    <w:p w14:paraId="522A36BE" w14:textId="162D941E" w:rsidR="00367A15" w:rsidRPr="000459C9" w:rsidRDefault="00367A15" w:rsidP="00095939">
      <w:pPr>
        <w:jc w:val="both"/>
        <w:rPr>
          <w:rFonts w:ascii="Botera TFE" w:hAnsi="Botera TFE"/>
          <w:sz w:val="22"/>
          <w:szCs w:val="22"/>
        </w:rPr>
      </w:pPr>
      <w:r w:rsidRPr="000459C9">
        <w:rPr>
          <w:rFonts w:ascii="Botera TFE" w:hAnsi="Botera TFE"/>
          <w:b/>
          <w:bCs/>
          <w:sz w:val="22"/>
          <w:szCs w:val="22"/>
        </w:rPr>
        <w:t xml:space="preserve">Pivot </w:t>
      </w:r>
      <w:r w:rsidRPr="000459C9">
        <w:rPr>
          <w:rFonts w:ascii="Botera TFE" w:hAnsi="Botera TFE"/>
          <w:sz w:val="22"/>
          <w:szCs w:val="22"/>
        </w:rPr>
        <w:t xml:space="preserve">– nelle tre finiture di serie bianco, nero e </w:t>
      </w:r>
      <w:proofErr w:type="spellStart"/>
      <w:r w:rsidRPr="000459C9">
        <w:rPr>
          <w:rFonts w:ascii="Botera TFE" w:hAnsi="Botera TFE"/>
          <w:sz w:val="22"/>
          <w:szCs w:val="22"/>
        </w:rPr>
        <w:t>greige</w:t>
      </w:r>
      <w:proofErr w:type="spellEnd"/>
      <w:r w:rsidRPr="000459C9">
        <w:rPr>
          <w:rFonts w:ascii="Botera TFE" w:hAnsi="Botera TFE"/>
          <w:sz w:val="22"/>
          <w:szCs w:val="22"/>
        </w:rPr>
        <w:t xml:space="preserve"> – è utilizzabile anche come sistema a</w:t>
      </w:r>
      <w:r w:rsidRPr="000459C9">
        <w:rPr>
          <w:rFonts w:ascii="Botera TFE" w:hAnsi="Botera TFE"/>
          <w:b/>
          <w:bCs/>
          <w:sz w:val="22"/>
          <w:szCs w:val="22"/>
        </w:rPr>
        <w:t xml:space="preserve"> sospensione, </w:t>
      </w:r>
      <w:r w:rsidRPr="000459C9">
        <w:rPr>
          <w:rFonts w:ascii="Botera TFE" w:hAnsi="Botera TFE"/>
          <w:sz w:val="22"/>
          <w:szCs w:val="22"/>
        </w:rPr>
        <w:t xml:space="preserve">combinandolo con quattro collezioni </w:t>
      </w:r>
      <w:r w:rsidRPr="000459C9">
        <w:rPr>
          <w:rFonts w:ascii="Botera TFE" w:hAnsi="Botera TFE"/>
          <w:b/>
          <w:bCs/>
          <w:sz w:val="22"/>
          <w:szCs w:val="22"/>
        </w:rPr>
        <w:t>Axolight</w:t>
      </w:r>
      <w:r w:rsidRPr="000459C9">
        <w:rPr>
          <w:rFonts w:ascii="Botera TFE" w:hAnsi="Botera TFE"/>
          <w:sz w:val="22"/>
          <w:szCs w:val="22"/>
        </w:rPr>
        <w:t xml:space="preserve">: </w:t>
      </w:r>
      <w:proofErr w:type="spellStart"/>
      <w:r w:rsidRPr="000459C9">
        <w:rPr>
          <w:rFonts w:ascii="Botera TFE" w:hAnsi="Botera TFE"/>
          <w:b/>
          <w:bCs/>
          <w:sz w:val="22"/>
          <w:szCs w:val="22"/>
        </w:rPr>
        <w:t>Jewel</w:t>
      </w:r>
      <w:proofErr w:type="spellEnd"/>
      <w:r w:rsidRPr="000459C9">
        <w:rPr>
          <w:rFonts w:ascii="Botera TFE" w:hAnsi="Botera TFE"/>
          <w:b/>
          <w:bCs/>
          <w:sz w:val="22"/>
          <w:szCs w:val="22"/>
        </w:rPr>
        <w:t xml:space="preserve"> Mono</w:t>
      </w:r>
      <w:r w:rsidRPr="000459C9">
        <w:rPr>
          <w:rFonts w:ascii="Botera TFE" w:hAnsi="Botera TFE"/>
          <w:sz w:val="22"/>
          <w:szCs w:val="22"/>
        </w:rPr>
        <w:t xml:space="preserve"> di Studio Yonoh, </w:t>
      </w:r>
      <w:r w:rsidRPr="000459C9">
        <w:rPr>
          <w:rFonts w:ascii="Botera TFE" w:hAnsi="Botera TFE"/>
          <w:b/>
          <w:bCs/>
          <w:sz w:val="22"/>
          <w:szCs w:val="22"/>
        </w:rPr>
        <w:t>Liaison</w:t>
      </w:r>
      <w:r w:rsidRPr="000459C9">
        <w:rPr>
          <w:rFonts w:ascii="Botera TFE" w:hAnsi="Botera TFE"/>
          <w:sz w:val="22"/>
          <w:szCs w:val="22"/>
        </w:rPr>
        <w:t xml:space="preserve"> di Sara Moroni, </w:t>
      </w:r>
      <w:r w:rsidRPr="000459C9">
        <w:rPr>
          <w:rFonts w:ascii="Botera TFE" w:hAnsi="Botera TFE"/>
          <w:b/>
          <w:bCs/>
          <w:sz w:val="22"/>
          <w:szCs w:val="22"/>
        </w:rPr>
        <w:t>Urban mini</w:t>
      </w:r>
      <w:r w:rsidRPr="000459C9">
        <w:rPr>
          <w:rFonts w:ascii="Botera TFE" w:hAnsi="Botera TFE"/>
          <w:sz w:val="22"/>
          <w:szCs w:val="22"/>
        </w:rPr>
        <w:t xml:space="preserve"> di Dima </w:t>
      </w:r>
      <w:proofErr w:type="spellStart"/>
      <w:r w:rsidRPr="000459C9">
        <w:rPr>
          <w:rFonts w:ascii="Botera TFE" w:hAnsi="Botera TFE"/>
          <w:sz w:val="22"/>
          <w:szCs w:val="22"/>
        </w:rPr>
        <w:t>Loginoff</w:t>
      </w:r>
      <w:proofErr w:type="spellEnd"/>
      <w:r w:rsidRPr="000459C9">
        <w:rPr>
          <w:rFonts w:ascii="Botera TFE" w:hAnsi="Botera TFE"/>
          <w:sz w:val="22"/>
          <w:szCs w:val="22"/>
        </w:rPr>
        <w:t xml:space="preserve">, </w:t>
      </w:r>
      <w:proofErr w:type="spellStart"/>
      <w:r w:rsidRPr="000459C9">
        <w:rPr>
          <w:rFonts w:ascii="Botera TFE" w:hAnsi="Botera TFE"/>
          <w:b/>
          <w:bCs/>
          <w:sz w:val="22"/>
          <w:szCs w:val="22"/>
        </w:rPr>
        <w:t>Virtus</w:t>
      </w:r>
      <w:proofErr w:type="spellEnd"/>
      <w:r w:rsidRPr="000459C9">
        <w:rPr>
          <w:rFonts w:ascii="Botera TFE" w:hAnsi="Botera TFE"/>
          <w:sz w:val="22"/>
          <w:szCs w:val="22"/>
        </w:rPr>
        <w:t xml:space="preserve"> di Manuel Vivian. I pendenti sono applicabili in alternativa, integrale o parziale, ai singoli spot da soffitto, orientabili e non, dando vita a un sistema di illuminazione con infinite possibilità progettuali.</w:t>
      </w:r>
      <w:r>
        <w:rPr>
          <w:rFonts w:ascii="Botera TFE" w:hAnsi="Botera TFE"/>
          <w:sz w:val="22"/>
          <w:szCs w:val="22"/>
        </w:rPr>
        <w:t xml:space="preserve"> </w:t>
      </w:r>
    </w:p>
    <w:p w14:paraId="64847517" w14:textId="77777777" w:rsidR="00095939" w:rsidRPr="000459C9" w:rsidRDefault="00095939" w:rsidP="00095939">
      <w:pPr>
        <w:jc w:val="both"/>
        <w:rPr>
          <w:rFonts w:ascii="Botera TFE" w:hAnsi="Botera TFE"/>
          <w:sz w:val="22"/>
          <w:szCs w:val="22"/>
        </w:rPr>
      </w:pPr>
    </w:p>
    <w:p w14:paraId="488CEB17" w14:textId="77777777" w:rsidR="00095939" w:rsidRPr="000459C9" w:rsidRDefault="00095939" w:rsidP="00095939">
      <w:pPr>
        <w:jc w:val="both"/>
        <w:rPr>
          <w:rFonts w:ascii="Botera TFE" w:hAnsi="Botera TFE"/>
          <w:sz w:val="22"/>
          <w:szCs w:val="22"/>
        </w:rPr>
      </w:pPr>
      <w:r w:rsidRPr="000459C9">
        <w:rPr>
          <w:rFonts w:ascii="Botera TFE" w:hAnsi="Botera TFE"/>
          <w:sz w:val="22"/>
          <w:szCs w:val="22"/>
        </w:rPr>
        <w:t>“</w:t>
      </w:r>
      <w:r w:rsidRPr="000459C9">
        <w:rPr>
          <w:rFonts w:ascii="Botera TFE" w:hAnsi="Botera TFE"/>
          <w:i/>
          <w:iCs/>
          <w:sz w:val="22"/>
          <w:szCs w:val="22"/>
        </w:rPr>
        <w:t xml:space="preserve">Emozione, modularità, linearità erano alcune delle parole chiave del progetto. Ho così iniziato a disegnare un insieme di tubi che si diramavano dalle sorgenti luminose. Il primo disegno mi ha ricordato il termine “pivot” ovvero “perno”. Nel basket un pivot è un movimento che permette di ruotare liberamente una gamba usando l'altra come asse. Ho così pensato che questo potesse essere applicato anche alle plafoniere”. Cit. </w:t>
      </w:r>
      <w:proofErr w:type="spellStart"/>
      <w:r w:rsidRPr="000459C9">
        <w:rPr>
          <w:rFonts w:ascii="Botera TFE" w:hAnsi="Botera TFE"/>
          <w:b/>
          <w:bCs/>
          <w:sz w:val="22"/>
          <w:szCs w:val="22"/>
        </w:rPr>
        <w:t>Ryosuke</w:t>
      </w:r>
      <w:proofErr w:type="spellEnd"/>
      <w:r w:rsidRPr="000459C9">
        <w:rPr>
          <w:rFonts w:ascii="Botera TFE" w:hAnsi="Botera TFE"/>
          <w:sz w:val="22"/>
          <w:szCs w:val="22"/>
        </w:rPr>
        <w:t xml:space="preserve"> </w:t>
      </w:r>
      <w:proofErr w:type="spellStart"/>
      <w:r w:rsidRPr="000459C9">
        <w:rPr>
          <w:rFonts w:ascii="Botera TFE" w:hAnsi="Botera TFE"/>
          <w:b/>
          <w:bCs/>
          <w:sz w:val="22"/>
          <w:szCs w:val="22"/>
        </w:rPr>
        <w:t>Fukusada</w:t>
      </w:r>
      <w:proofErr w:type="spellEnd"/>
    </w:p>
    <w:p w14:paraId="5510DB7A" w14:textId="77777777" w:rsidR="00122D15" w:rsidRPr="00731227" w:rsidRDefault="00122D15" w:rsidP="00731227">
      <w:pPr>
        <w:rPr>
          <w:rFonts w:ascii="Botera TFE" w:hAnsi="Botera TFE"/>
          <w:b/>
          <w:bCs/>
        </w:rPr>
      </w:pPr>
    </w:p>
    <w:p w14:paraId="22D87A8E" w14:textId="77777777" w:rsidR="00EB4BCF" w:rsidRPr="00F32A03" w:rsidRDefault="003F6A1B" w:rsidP="00EB4BCF">
      <w:pPr>
        <w:jc w:val="both"/>
        <w:rPr>
          <w:rFonts w:ascii="Botera TFE" w:hAnsi="Botera TFE"/>
          <w:sz w:val="22"/>
          <w:szCs w:val="22"/>
        </w:rPr>
      </w:pPr>
      <w:hyperlink r:id="rId8" w:history="1">
        <w:r w:rsidR="00EB4BCF" w:rsidRPr="00F32A03">
          <w:rPr>
            <w:rStyle w:val="Collegamentoipertestuale"/>
            <w:rFonts w:ascii="Botera TFE" w:hAnsi="Botera TFE"/>
            <w:sz w:val="22"/>
            <w:szCs w:val="22"/>
          </w:rPr>
          <w:t>www.axolight.it</w:t>
        </w:r>
      </w:hyperlink>
      <w:r w:rsidR="00EB4BCF" w:rsidRPr="00F32A03">
        <w:rPr>
          <w:rFonts w:ascii="Botera TFE" w:hAnsi="Botera TFE"/>
          <w:sz w:val="22"/>
          <w:szCs w:val="22"/>
        </w:rPr>
        <w:t xml:space="preserve"> </w:t>
      </w:r>
    </w:p>
    <w:p w14:paraId="36C72412" w14:textId="01676C30" w:rsidR="00EB4BCF" w:rsidRPr="00F32A03" w:rsidRDefault="003F6A1B" w:rsidP="00EB4BCF">
      <w:pPr>
        <w:jc w:val="both"/>
        <w:rPr>
          <w:rFonts w:ascii="Botera TFE" w:hAnsi="Botera TFE"/>
          <w:sz w:val="22"/>
          <w:szCs w:val="22"/>
        </w:rPr>
      </w:pPr>
      <w:hyperlink r:id="rId9" w:history="1">
        <w:r w:rsidR="00EB4BCF" w:rsidRPr="00F32A03">
          <w:rPr>
            <w:rStyle w:val="Collegamentoipertestuale"/>
            <w:rFonts w:ascii="Botera TFE" w:hAnsi="Botera TFE"/>
            <w:sz w:val="22"/>
            <w:szCs w:val="22"/>
          </w:rPr>
          <w:t>www.instagram.com/axolight</w:t>
        </w:r>
      </w:hyperlink>
      <w:r w:rsidR="00EB4BCF" w:rsidRPr="00F32A03">
        <w:rPr>
          <w:rFonts w:ascii="Botera TFE" w:hAnsi="Botera TFE"/>
          <w:sz w:val="22"/>
          <w:szCs w:val="22"/>
        </w:rPr>
        <w:t xml:space="preserve"> </w:t>
      </w:r>
    </w:p>
    <w:p w14:paraId="0FEB480B" w14:textId="77777777" w:rsidR="00AB5FA4" w:rsidRPr="00F32A03" w:rsidRDefault="00AB5FA4" w:rsidP="00AB5FA4">
      <w:pPr>
        <w:spacing w:line="276" w:lineRule="auto"/>
        <w:jc w:val="both"/>
        <w:rPr>
          <w:rFonts w:ascii="Botera TFE" w:eastAsia="Calibri" w:hAnsi="Botera TFE" w:cs="Calibri"/>
          <w:sz w:val="22"/>
          <w:szCs w:val="22"/>
        </w:rPr>
      </w:pPr>
    </w:p>
    <w:p w14:paraId="7BB3E9B2" w14:textId="77777777" w:rsidR="00EB4BCF" w:rsidRPr="00F32A03" w:rsidRDefault="00EB4BCF" w:rsidP="00EB4BCF">
      <w:pPr>
        <w:jc w:val="both"/>
        <w:rPr>
          <w:rFonts w:ascii="Botera TFE" w:hAnsi="Botera TFE"/>
          <w:sz w:val="21"/>
          <w:szCs w:val="21"/>
          <w:u w:val="single"/>
        </w:rPr>
      </w:pPr>
      <w:r w:rsidRPr="00F32A03">
        <w:rPr>
          <w:rFonts w:ascii="Botera TFE" w:hAnsi="Botera TFE"/>
          <w:sz w:val="21"/>
          <w:szCs w:val="21"/>
          <w:u w:val="single"/>
        </w:rPr>
        <w:t>Ufficio Stampa</w:t>
      </w:r>
    </w:p>
    <w:p w14:paraId="40195C48" w14:textId="77777777" w:rsidR="00EB4BCF" w:rsidRPr="00F32A03" w:rsidRDefault="00EB4BCF" w:rsidP="00EB4BCF">
      <w:pPr>
        <w:tabs>
          <w:tab w:val="left" w:pos="10348"/>
        </w:tabs>
        <w:spacing w:line="276" w:lineRule="auto"/>
        <w:ind w:right="561"/>
        <w:jc w:val="both"/>
        <w:rPr>
          <w:rFonts w:ascii="Botera TFE" w:hAnsi="Botera TFE" w:cs="Times"/>
          <w:bCs/>
          <w:color w:val="383E42"/>
          <w:sz w:val="21"/>
          <w:szCs w:val="21"/>
        </w:rPr>
      </w:pPr>
      <w:r w:rsidRPr="00F32A03">
        <w:rPr>
          <w:rFonts w:ascii="Botera TFE" w:hAnsi="Botera TFE" w:cs="Times"/>
          <w:bCs/>
          <w:color w:val="C88590"/>
          <w:sz w:val="21"/>
          <w:szCs w:val="21"/>
        </w:rPr>
        <w:t>ZED</w:t>
      </w:r>
      <w:r w:rsidRPr="00F32A03">
        <w:rPr>
          <w:rFonts w:ascii="Botera TFE" w:hAnsi="Botera TFE" w:cs="Times"/>
          <w:bCs/>
          <w:color w:val="383E42"/>
          <w:sz w:val="21"/>
          <w:szCs w:val="21"/>
        </w:rPr>
        <w:t>COMM</w:t>
      </w:r>
    </w:p>
    <w:p w14:paraId="27F6117F" w14:textId="77777777" w:rsidR="00EB4BCF" w:rsidRPr="00F32A03" w:rsidRDefault="00EB4BCF" w:rsidP="00EB4BCF">
      <w:pPr>
        <w:jc w:val="both"/>
        <w:rPr>
          <w:rStyle w:val="Collegamentoipertestuale"/>
          <w:rFonts w:ascii="Botera TFE" w:hAnsi="Botera TFE"/>
          <w:sz w:val="21"/>
          <w:szCs w:val="21"/>
        </w:rPr>
      </w:pPr>
      <w:r w:rsidRPr="00731227">
        <w:rPr>
          <w:rFonts w:ascii="Botera TFE" w:hAnsi="Botera TFE"/>
          <w:sz w:val="21"/>
          <w:szCs w:val="21"/>
        </w:rPr>
        <w:t xml:space="preserve">Martina Romeo | +39 344 3904272 | </w:t>
      </w:r>
      <w:hyperlink r:id="rId10" w:history="1">
        <w:r w:rsidRPr="00F32A03">
          <w:rPr>
            <w:rStyle w:val="Collegamentoipertestuale"/>
            <w:rFonts w:ascii="Botera TFE" w:hAnsi="Botera TFE"/>
            <w:sz w:val="21"/>
            <w:szCs w:val="21"/>
          </w:rPr>
          <w:t>martina@zedcomm.it</w:t>
        </w:r>
      </w:hyperlink>
    </w:p>
    <w:p w14:paraId="2609F8B9" w14:textId="77777777" w:rsidR="00EB4BCF" w:rsidRPr="00261AD5" w:rsidRDefault="00EB4BCF" w:rsidP="00EB4BCF">
      <w:pPr>
        <w:jc w:val="both"/>
        <w:rPr>
          <w:rFonts w:ascii="Botera TFE" w:hAnsi="Botera TFE"/>
          <w:color w:val="0000FF" w:themeColor="hyperlink"/>
          <w:sz w:val="21"/>
          <w:szCs w:val="21"/>
          <w:u w:val="single"/>
        </w:rPr>
      </w:pPr>
      <w:r w:rsidRPr="00F32A03">
        <w:rPr>
          <w:rFonts w:ascii="Botera TFE" w:hAnsi="Botera TFE"/>
          <w:sz w:val="21"/>
          <w:szCs w:val="21"/>
        </w:rPr>
        <w:t xml:space="preserve">Elena Brunati | +39 340 7552578 | </w:t>
      </w:r>
      <w:hyperlink r:id="rId11" w:history="1">
        <w:r w:rsidRPr="00F32A03">
          <w:rPr>
            <w:rStyle w:val="Collegamentoipertestuale"/>
            <w:rFonts w:ascii="Botera TFE" w:hAnsi="Botera TFE"/>
            <w:sz w:val="21"/>
            <w:szCs w:val="21"/>
          </w:rPr>
          <w:t>elena@zedcomm.it</w:t>
        </w:r>
      </w:hyperlink>
    </w:p>
    <w:p w14:paraId="49F54114" w14:textId="77777777" w:rsidR="00AB5FA4" w:rsidRDefault="00AB5FA4" w:rsidP="005754E4">
      <w:pPr>
        <w:jc w:val="both"/>
        <w:rPr>
          <w:rFonts w:ascii="Botera TFE" w:hAnsi="Botera TFE"/>
        </w:rPr>
      </w:pPr>
    </w:p>
    <w:sectPr w:rsidR="00AB5FA4" w:rsidSect="00183ED8">
      <w:headerReference w:type="default" r:id="rId12"/>
      <w:footerReference w:type="default" r:id="rId13"/>
      <w:pgSz w:w="11900" w:h="16840"/>
      <w:pgMar w:top="1607" w:right="1134" w:bottom="1103" w:left="1134" w:header="708" w:footer="14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CDF98C" w14:textId="77777777" w:rsidR="003F6A1B" w:rsidRDefault="003F6A1B">
      <w:r>
        <w:separator/>
      </w:r>
    </w:p>
  </w:endnote>
  <w:endnote w:type="continuationSeparator" w:id="0">
    <w:p w14:paraId="33835739" w14:textId="77777777" w:rsidR="003F6A1B" w:rsidRDefault="003F6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tera TFE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647685" w14:textId="77777777" w:rsidR="009261B6" w:rsidRDefault="009261B6">
    <w:pPr>
      <w:pStyle w:val="Pidipagina"/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5E2241" w14:textId="77777777" w:rsidR="003F6A1B" w:rsidRDefault="003F6A1B">
      <w:r>
        <w:separator/>
      </w:r>
    </w:p>
  </w:footnote>
  <w:footnote w:type="continuationSeparator" w:id="0">
    <w:p w14:paraId="7C37A1FA" w14:textId="77777777" w:rsidR="003F6A1B" w:rsidRDefault="003F6A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5667D" w14:textId="77777777" w:rsidR="00FC07B1" w:rsidRDefault="00FC07B1">
    <w:pPr>
      <w:pStyle w:val="Intestazione"/>
      <w:tabs>
        <w:tab w:val="clear" w:pos="9638"/>
        <w:tab w:val="right" w:pos="9612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318F677C" wp14:editId="6581BF22">
          <wp:simplePos x="0" y="0"/>
          <wp:positionH relativeFrom="page">
            <wp:posOffset>-38735</wp:posOffset>
          </wp:positionH>
          <wp:positionV relativeFrom="page">
            <wp:posOffset>203</wp:posOffset>
          </wp:positionV>
          <wp:extent cx="7562850" cy="1047750"/>
          <wp:effectExtent l="0" t="0" r="6350" b="6350"/>
          <wp:wrapNone/>
          <wp:docPr id="1073741825" name="officeArt object" descr="testat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estata" descr="testat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850" cy="10477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0859BEC0" w14:textId="77777777" w:rsidR="00FC07B1" w:rsidRDefault="00FC07B1">
    <w:pPr>
      <w:pStyle w:val="Intestazione"/>
      <w:tabs>
        <w:tab w:val="clear" w:pos="9638"/>
        <w:tab w:val="right" w:pos="9612"/>
      </w:tabs>
    </w:pPr>
  </w:p>
  <w:p w14:paraId="75F7909B" w14:textId="77777777" w:rsidR="00FC07B1" w:rsidRDefault="00FC07B1">
    <w:pPr>
      <w:pStyle w:val="Intestazione"/>
      <w:tabs>
        <w:tab w:val="clear" w:pos="9638"/>
        <w:tab w:val="right" w:pos="9612"/>
      </w:tabs>
    </w:pPr>
  </w:p>
  <w:p w14:paraId="357387BD" w14:textId="77777777" w:rsidR="009261B6" w:rsidRDefault="00FC07B1">
    <w:pPr>
      <w:pStyle w:val="Intestazione"/>
      <w:tabs>
        <w:tab w:val="clear" w:pos="9638"/>
        <w:tab w:val="right" w:pos="9612"/>
      </w:tabs>
    </w:pPr>
    <w:r>
      <w:rPr>
        <w:noProof/>
        <w14:textOutline w14:w="0" w14:cap="rnd" w14:cmpd="sng" w14:algn="ctr">
          <w14:noFill/>
          <w14:prstDash w14:val="solid"/>
          <w14:bevel/>
        </w14:textOutline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D8E794E" wp14:editId="1DD08C24">
              <wp:simplePos x="0" y="0"/>
              <wp:positionH relativeFrom="column">
                <wp:posOffset>211455</wp:posOffset>
              </wp:positionH>
              <wp:positionV relativeFrom="paragraph">
                <wp:posOffset>54151</wp:posOffset>
              </wp:positionV>
              <wp:extent cx="5862320" cy="0"/>
              <wp:effectExtent l="0" t="0" r="17780" b="1270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2320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CD3B347" id="Connettore 1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65pt,4.25pt" to="478.2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" strokecolor="black [3040]"/>
          </w:pict>
        </mc:Fallback>
      </mc:AlternateContent>
    </w:r>
    <w:r w:rsidR="00872C71">
      <w:rPr>
        <w:noProof/>
      </w:rPr>
      <w:drawing>
        <wp:anchor distT="152400" distB="152400" distL="152400" distR="152400" simplePos="0" relativeHeight="251659264" behindDoc="1" locked="0" layoutInCell="1" allowOverlap="1" wp14:anchorId="649CFCA5" wp14:editId="75952F4A">
          <wp:simplePos x="0" y="0"/>
          <wp:positionH relativeFrom="page">
            <wp:posOffset>-422909</wp:posOffset>
          </wp:positionH>
          <wp:positionV relativeFrom="page">
            <wp:posOffset>9765029</wp:posOffset>
          </wp:positionV>
          <wp:extent cx="7562850" cy="1019175"/>
          <wp:effectExtent l="0" t="0" r="0" b="0"/>
          <wp:wrapNone/>
          <wp:docPr id="1073741826" name="officeArt object" descr="pie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ede" descr="piede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62850" cy="1019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7E60EC"/>
    <w:multiLevelType w:val="hybridMultilevel"/>
    <w:tmpl w:val="36388660"/>
    <w:lvl w:ilvl="0" w:tplc="1550EC26">
      <w:numFmt w:val="bullet"/>
      <w:lvlText w:val="-"/>
      <w:lvlJc w:val="left"/>
      <w:pPr>
        <w:ind w:left="720" w:hanging="360"/>
      </w:pPr>
      <w:rPr>
        <w:rFonts w:ascii="Botera TFE" w:eastAsia="Cambria" w:hAnsi="Botera TFE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DC5AAD"/>
    <w:multiLevelType w:val="multilevel"/>
    <w:tmpl w:val="C9C4E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1B6"/>
    <w:rsid w:val="00002AD3"/>
    <w:rsid w:val="00010590"/>
    <w:rsid w:val="000130ED"/>
    <w:rsid w:val="00026E10"/>
    <w:rsid w:val="00026EEA"/>
    <w:rsid w:val="000443E2"/>
    <w:rsid w:val="000459C9"/>
    <w:rsid w:val="00063394"/>
    <w:rsid w:val="00065094"/>
    <w:rsid w:val="00072FB2"/>
    <w:rsid w:val="00073300"/>
    <w:rsid w:val="0007452B"/>
    <w:rsid w:val="000803EE"/>
    <w:rsid w:val="00080AF2"/>
    <w:rsid w:val="00095939"/>
    <w:rsid w:val="00096F33"/>
    <w:rsid w:val="000B4BEF"/>
    <w:rsid w:val="000D62D5"/>
    <w:rsid w:val="000D7F1D"/>
    <w:rsid w:val="000F5897"/>
    <w:rsid w:val="00103002"/>
    <w:rsid w:val="00103159"/>
    <w:rsid w:val="001170A4"/>
    <w:rsid w:val="0012151A"/>
    <w:rsid w:val="00122D15"/>
    <w:rsid w:val="001245D8"/>
    <w:rsid w:val="001307F6"/>
    <w:rsid w:val="00131B9A"/>
    <w:rsid w:val="00144A34"/>
    <w:rsid w:val="00152A2C"/>
    <w:rsid w:val="00156B58"/>
    <w:rsid w:val="00160A62"/>
    <w:rsid w:val="001643C7"/>
    <w:rsid w:val="00175D66"/>
    <w:rsid w:val="00183ED8"/>
    <w:rsid w:val="00187370"/>
    <w:rsid w:val="00190025"/>
    <w:rsid w:val="00193DE7"/>
    <w:rsid w:val="0019412E"/>
    <w:rsid w:val="001B1BA9"/>
    <w:rsid w:val="001C2D77"/>
    <w:rsid w:val="001D3516"/>
    <w:rsid w:val="001F048B"/>
    <w:rsid w:val="001F7337"/>
    <w:rsid w:val="002047D6"/>
    <w:rsid w:val="0021620E"/>
    <w:rsid w:val="002459CB"/>
    <w:rsid w:val="00256991"/>
    <w:rsid w:val="002622B9"/>
    <w:rsid w:val="0026502F"/>
    <w:rsid w:val="00271667"/>
    <w:rsid w:val="002806A1"/>
    <w:rsid w:val="00296BCA"/>
    <w:rsid w:val="002A66B9"/>
    <w:rsid w:val="002C3937"/>
    <w:rsid w:val="002D00BC"/>
    <w:rsid w:val="002D4BA3"/>
    <w:rsid w:val="002E283B"/>
    <w:rsid w:val="002E69E4"/>
    <w:rsid w:val="002F0DAE"/>
    <w:rsid w:val="002F609B"/>
    <w:rsid w:val="00364E16"/>
    <w:rsid w:val="00367A15"/>
    <w:rsid w:val="00372E9A"/>
    <w:rsid w:val="00374648"/>
    <w:rsid w:val="00376D4D"/>
    <w:rsid w:val="0038175F"/>
    <w:rsid w:val="00393936"/>
    <w:rsid w:val="003942DC"/>
    <w:rsid w:val="003B1B2A"/>
    <w:rsid w:val="003D2F18"/>
    <w:rsid w:val="003D645D"/>
    <w:rsid w:val="003F6A1B"/>
    <w:rsid w:val="00413641"/>
    <w:rsid w:val="0044391C"/>
    <w:rsid w:val="00447CD3"/>
    <w:rsid w:val="00462B5F"/>
    <w:rsid w:val="0047304D"/>
    <w:rsid w:val="00485885"/>
    <w:rsid w:val="00486B45"/>
    <w:rsid w:val="00497855"/>
    <w:rsid w:val="004A1131"/>
    <w:rsid w:val="004D1FF4"/>
    <w:rsid w:val="004D6BF8"/>
    <w:rsid w:val="00503C94"/>
    <w:rsid w:val="005261B1"/>
    <w:rsid w:val="00531EB7"/>
    <w:rsid w:val="00537382"/>
    <w:rsid w:val="00537A97"/>
    <w:rsid w:val="005409F8"/>
    <w:rsid w:val="005754E4"/>
    <w:rsid w:val="005B09F8"/>
    <w:rsid w:val="005B49DC"/>
    <w:rsid w:val="005C7839"/>
    <w:rsid w:val="005D2154"/>
    <w:rsid w:val="005E08A7"/>
    <w:rsid w:val="006026E9"/>
    <w:rsid w:val="006050ED"/>
    <w:rsid w:val="006148D0"/>
    <w:rsid w:val="00621220"/>
    <w:rsid w:val="0062201A"/>
    <w:rsid w:val="006363BD"/>
    <w:rsid w:val="00655561"/>
    <w:rsid w:val="00662E49"/>
    <w:rsid w:val="00665ECD"/>
    <w:rsid w:val="00674D2F"/>
    <w:rsid w:val="00695E0E"/>
    <w:rsid w:val="006B288B"/>
    <w:rsid w:val="006E1D83"/>
    <w:rsid w:val="006F7298"/>
    <w:rsid w:val="00701A13"/>
    <w:rsid w:val="0070202D"/>
    <w:rsid w:val="007133CD"/>
    <w:rsid w:val="00717BAB"/>
    <w:rsid w:val="00724C05"/>
    <w:rsid w:val="00725379"/>
    <w:rsid w:val="00731227"/>
    <w:rsid w:val="007327BF"/>
    <w:rsid w:val="007341D8"/>
    <w:rsid w:val="0075011B"/>
    <w:rsid w:val="00765000"/>
    <w:rsid w:val="00796A7D"/>
    <w:rsid w:val="00797AE9"/>
    <w:rsid w:val="007B38A4"/>
    <w:rsid w:val="007B63CC"/>
    <w:rsid w:val="007C416C"/>
    <w:rsid w:val="007F25F8"/>
    <w:rsid w:val="007F2A56"/>
    <w:rsid w:val="007F4ACD"/>
    <w:rsid w:val="00803EBC"/>
    <w:rsid w:val="008064D0"/>
    <w:rsid w:val="008148C0"/>
    <w:rsid w:val="00824FB8"/>
    <w:rsid w:val="00826DA3"/>
    <w:rsid w:val="00832581"/>
    <w:rsid w:val="00840D46"/>
    <w:rsid w:val="00862F9A"/>
    <w:rsid w:val="008677B1"/>
    <w:rsid w:val="00871DF5"/>
    <w:rsid w:val="00872045"/>
    <w:rsid w:val="00872C71"/>
    <w:rsid w:val="0089162F"/>
    <w:rsid w:val="0089289D"/>
    <w:rsid w:val="00896DFB"/>
    <w:rsid w:val="008B36DC"/>
    <w:rsid w:val="008B543C"/>
    <w:rsid w:val="008B6AB3"/>
    <w:rsid w:val="008B6C17"/>
    <w:rsid w:val="008C124F"/>
    <w:rsid w:val="008C1F1B"/>
    <w:rsid w:val="008E4F8A"/>
    <w:rsid w:val="008F608D"/>
    <w:rsid w:val="00904DFC"/>
    <w:rsid w:val="009261B6"/>
    <w:rsid w:val="00932DED"/>
    <w:rsid w:val="00946700"/>
    <w:rsid w:val="009572CF"/>
    <w:rsid w:val="00972CAF"/>
    <w:rsid w:val="00976170"/>
    <w:rsid w:val="00984692"/>
    <w:rsid w:val="009A1D5A"/>
    <w:rsid w:val="009C11C6"/>
    <w:rsid w:val="009C3FED"/>
    <w:rsid w:val="009E2ED2"/>
    <w:rsid w:val="009E7175"/>
    <w:rsid w:val="009F489B"/>
    <w:rsid w:val="00A02A30"/>
    <w:rsid w:val="00A31FB0"/>
    <w:rsid w:val="00A729BA"/>
    <w:rsid w:val="00A72E8F"/>
    <w:rsid w:val="00A74931"/>
    <w:rsid w:val="00A81FF6"/>
    <w:rsid w:val="00A82E9B"/>
    <w:rsid w:val="00A84293"/>
    <w:rsid w:val="00A8482C"/>
    <w:rsid w:val="00A85BF5"/>
    <w:rsid w:val="00AA375D"/>
    <w:rsid w:val="00AA5532"/>
    <w:rsid w:val="00AB5FA4"/>
    <w:rsid w:val="00AC3C78"/>
    <w:rsid w:val="00AE1560"/>
    <w:rsid w:val="00AE1E55"/>
    <w:rsid w:val="00AF0D7C"/>
    <w:rsid w:val="00AF1820"/>
    <w:rsid w:val="00AF5980"/>
    <w:rsid w:val="00B15BB5"/>
    <w:rsid w:val="00B345AC"/>
    <w:rsid w:val="00B40CFC"/>
    <w:rsid w:val="00B4208F"/>
    <w:rsid w:val="00B449DF"/>
    <w:rsid w:val="00B5003D"/>
    <w:rsid w:val="00B74970"/>
    <w:rsid w:val="00B82F18"/>
    <w:rsid w:val="00BA0DEC"/>
    <w:rsid w:val="00BC1DC5"/>
    <w:rsid w:val="00BD05F3"/>
    <w:rsid w:val="00BD7D51"/>
    <w:rsid w:val="00BE4BF7"/>
    <w:rsid w:val="00BF0485"/>
    <w:rsid w:val="00BF21DB"/>
    <w:rsid w:val="00C03993"/>
    <w:rsid w:val="00C040D4"/>
    <w:rsid w:val="00C07B07"/>
    <w:rsid w:val="00C14812"/>
    <w:rsid w:val="00C202F6"/>
    <w:rsid w:val="00C54133"/>
    <w:rsid w:val="00C90454"/>
    <w:rsid w:val="00CA5890"/>
    <w:rsid w:val="00CA70CA"/>
    <w:rsid w:val="00CC2614"/>
    <w:rsid w:val="00CE7054"/>
    <w:rsid w:val="00CF26B8"/>
    <w:rsid w:val="00D10FCC"/>
    <w:rsid w:val="00D1697E"/>
    <w:rsid w:val="00D27E2E"/>
    <w:rsid w:val="00D42A41"/>
    <w:rsid w:val="00D55983"/>
    <w:rsid w:val="00D64FE4"/>
    <w:rsid w:val="00D668F3"/>
    <w:rsid w:val="00D70569"/>
    <w:rsid w:val="00D74217"/>
    <w:rsid w:val="00D860C9"/>
    <w:rsid w:val="00DA0173"/>
    <w:rsid w:val="00DB042F"/>
    <w:rsid w:val="00DB0CF1"/>
    <w:rsid w:val="00DD1EE9"/>
    <w:rsid w:val="00DF56A0"/>
    <w:rsid w:val="00E002CD"/>
    <w:rsid w:val="00E01E04"/>
    <w:rsid w:val="00E14DD6"/>
    <w:rsid w:val="00E17CC0"/>
    <w:rsid w:val="00E23AD1"/>
    <w:rsid w:val="00E440D7"/>
    <w:rsid w:val="00E65586"/>
    <w:rsid w:val="00E70187"/>
    <w:rsid w:val="00E77738"/>
    <w:rsid w:val="00E83648"/>
    <w:rsid w:val="00E839D3"/>
    <w:rsid w:val="00EA5F94"/>
    <w:rsid w:val="00EB1E1A"/>
    <w:rsid w:val="00EB4BCF"/>
    <w:rsid w:val="00EB6EAD"/>
    <w:rsid w:val="00EB7AEA"/>
    <w:rsid w:val="00ED39E0"/>
    <w:rsid w:val="00EF0321"/>
    <w:rsid w:val="00EF5715"/>
    <w:rsid w:val="00F131CE"/>
    <w:rsid w:val="00F32A03"/>
    <w:rsid w:val="00F475F1"/>
    <w:rsid w:val="00F710E1"/>
    <w:rsid w:val="00F97F73"/>
    <w:rsid w:val="00FB5278"/>
    <w:rsid w:val="00FC07B1"/>
    <w:rsid w:val="00FC4CF4"/>
    <w:rsid w:val="00FF07FF"/>
    <w:rsid w:val="00FF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8C85A"/>
  <w15:docId w15:val="{CFB7DD7A-93A3-BB4C-ACC7-FED62D746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mbria" w:eastAsia="Cambria" w:hAnsi="Cambria" w:cs="Cambria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Cambria" w:eastAsia="Cambria" w:hAnsi="Cambria" w:cs="Cambria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rFonts w:ascii="Calibri" w:eastAsia="Calibri" w:hAnsi="Calibri" w:cs="Calibri"/>
      <w:outline w:val="0"/>
      <w:color w:val="0000FF"/>
      <w:sz w:val="22"/>
      <w:szCs w:val="22"/>
      <w:u w:val="single" w:color="0000FF"/>
    </w:rPr>
  </w:style>
  <w:style w:type="character" w:customStyle="1" w:styleId="Hyperlink1">
    <w:name w:val="Hyperlink.1"/>
    <w:basedOn w:val="Link"/>
    <w:rPr>
      <w:rFonts w:ascii="Calibri" w:eastAsia="Calibri" w:hAnsi="Calibri" w:cs="Calibri"/>
      <w:outline w:val="0"/>
      <w:color w:val="0000FF"/>
      <w:sz w:val="21"/>
      <w:szCs w:val="21"/>
      <w:u w:val="single" w:color="0000FF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A31FB0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4C0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4C05"/>
    <w:rPr>
      <w:rFonts w:eastAsia="Cambria"/>
      <w:color w:val="000000"/>
      <w:sz w:val="18"/>
      <w:szCs w:val="18"/>
      <w:u w:color="000000"/>
    </w:rPr>
  </w:style>
  <w:style w:type="paragraph" w:styleId="Paragrafoelenco">
    <w:name w:val="List Paragraph"/>
    <w:basedOn w:val="Normale"/>
    <w:uiPriority w:val="34"/>
    <w:qFormat/>
    <w:rsid w:val="00EB4BCF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B82F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6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xolight.i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ena@zedcomm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rtina@zedcomm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stagram.com/axoligh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995C2-15F9-4566-AB02-B7D325F3B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Scaturro</dc:creator>
  <cp:lastModifiedBy>Stefania Niero</cp:lastModifiedBy>
  <cp:revision>26</cp:revision>
  <cp:lastPrinted>2020-02-14T12:03:00Z</cp:lastPrinted>
  <dcterms:created xsi:type="dcterms:W3CDTF">2021-05-03T12:09:00Z</dcterms:created>
  <dcterms:modified xsi:type="dcterms:W3CDTF">2023-10-26T08:21:00Z</dcterms:modified>
</cp:coreProperties>
</file>